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454502" w14:textId="7068147C" w:rsidR="00852C69" w:rsidRPr="008C1040" w:rsidRDefault="00852C69" w:rsidP="00852C69">
      <w:pPr>
        <w:pStyle w:val="3GPPHeader"/>
        <w:spacing w:after="60"/>
        <w:rPr>
          <w:sz w:val="32"/>
          <w:szCs w:val="32"/>
          <w:highlight w:val="yellow"/>
        </w:rPr>
      </w:pPr>
      <w:bookmarkStart w:id="0" w:name="_GoBack"/>
      <w:bookmarkEnd w:id="0"/>
      <w:r w:rsidRPr="008C1040">
        <w:t>3GPP TSG-RAN WG2 #9</w:t>
      </w:r>
      <w:r>
        <w:t>8 AdHoc</w:t>
      </w:r>
      <w:r w:rsidRPr="008C1040">
        <w:tab/>
      </w:r>
      <w:r w:rsidRPr="008C1040">
        <w:rPr>
          <w:sz w:val="32"/>
          <w:szCs w:val="32"/>
        </w:rPr>
        <w:t xml:space="preserve">Tdoc </w:t>
      </w:r>
      <w:r w:rsidRPr="00941BFF">
        <w:rPr>
          <w:sz w:val="32"/>
          <w:szCs w:val="32"/>
        </w:rPr>
        <w:t>R2-</w:t>
      </w:r>
      <w:r w:rsidR="005720E3" w:rsidRPr="005720E3">
        <w:rPr>
          <w:sz w:val="32"/>
          <w:szCs w:val="32"/>
        </w:rPr>
        <w:t>1706700</w:t>
      </w:r>
    </w:p>
    <w:p w14:paraId="26753E89" w14:textId="7F1D2CB6" w:rsidR="00852C69" w:rsidRDefault="00852C69" w:rsidP="00852C69">
      <w:pPr>
        <w:pStyle w:val="CRCoverPage"/>
        <w:outlineLvl w:val="0"/>
        <w:rPr>
          <w:b/>
          <w:noProof/>
          <w:sz w:val="24"/>
        </w:rPr>
      </w:pPr>
      <w:r>
        <w:rPr>
          <w:b/>
          <w:noProof/>
          <w:sz w:val="24"/>
        </w:rPr>
        <w:t>Qingdao, China</w:t>
      </w:r>
      <w:r w:rsidRPr="00AB78B2">
        <w:rPr>
          <w:b/>
          <w:noProof/>
          <w:sz w:val="24"/>
        </w:rPr>
        <w:t xml:space="preserve">, </w:t>
      </w:r>
      <w:r>
        <w:rPr>
          <w:b/>
          <w:noProof/>
          <w:sz w:val="24"/>
        </w:rPr>
        <w:t>27</w:t>
      </w:r>
      <w:r>
        <w:rPr>
          <w:b/>
          <w:noProof/>
          <w:sz w:val="24"/>
          <w:vertAlign w:val="superscript"/>
        </w:rPr>
        <w:t>nd</w:t>
      </w:r>
      <w:r w:rsidRPr="00AB78B2">
        <w:rPr>
          <w:b/>
          <w:noProof/>
          <w:sz w:val="24"/>
        </w:rPr>
        <w:t xml:space="preserve"> – </w:t>
      </w:r>
      <w:r>
        <w:rPr>
          <w:b/>
          <w:noProof/>
          <w:sz w:val="24"/>
        </w:rPr>
        <w:t>29</w:t>
      </w:r>
      <w:r>
        <w:rPr>
          <w:b/>
          <w:noProof/>
          <w:sz w:val="24"/>
          <w:vertAlign w:val="superscript"/>
        </w:rPr>
        <w:t>th</w:t>
      </w:r>
      <w:r w:rsidRPr="00AB78B2">
        <w:rPr>
          <w:b/>
          <w:noProof/>
          <w:sz w:val="24"/>
        </w:rPr>
        <w:t xml:space="preserve"> </w:t>
      </w:r>
      <w:r>
        <w:rPr>
          <w:b/>
          <w:noProof/>
          <w:sz w:val="24"/>
        </w:rPr>
        <w:t>June 2016</w:t>
      </w:r>
      <w:r w:rsidR="005720E3">
        <w:rPr>
          <w:b/>
          <w:noProof/>
          <w:sz w:val="24"/>
        </w:rPr>
        <w:tab/>
      </w:r>
      <w:r w:rsidR="005720E3">
        <w:rPr>
          <w:b/>
          <w:noProof/>
          <w:sz w:val="24"/>
        </w:rPr>
        <w:tab/>
      </w:r>
      <w:r w:rsidR="005720E3">
        <w:rPr>
          <w:b/>
          <w:noProof/>
          <w:sz w:val="24"/>
        </w:rPr>
        <w:tab/>
      </w:r>
      <w:r w:rsidR="005720E3">
        <w:rPr>
          <w:b/>
          <w:noProof/>
          <w:sz w:val="24"/>
        </w:rPr>
        <w:tab/>
        <w:t>Resubmission of R2-1705098</w:t>
      </w:r>
    </w:p>
    <w:p w14:paraId="37665E90" w14:textId="77777777" w:rsidR="00AB487B" w:rsidRDefault="00AB487B" w:rsidP="00414336">
      <w:pPr>
        <w:pStyle w:val="3GPPHeader"/>
      </w:pPr>
    </w:p>
    <w:p w14:paraId="24AAD635" w14:textId="3EA83AB3" w:rsidR="00414336" w:rsidRPr="00956F13" w:rsidRDefault="00414336" w:rsidP="00414336">
      <w:pPr>
        <w:pStyle w:val="3GPPHeader"/>
        <w:rPr>
          <w:sz w:val="22"/>
          <w:szCs w:val="22"/>
          <w:lang w:val="en-US"/>
        </w:rPr>
      </w:pPr>
      <w:r w:rsidRPr="00956F13">
        <w:rPr>
          <w:sz w:val="22"/>
          <w:szCs w:val="22"/>
          <w:lang w:val="en-US"/>
        </w:rPr>
        <w:t>Agenda Item:</w:t>
      </w:r>
      <w:r w:rsidRPr="00956F13">
        <w:rPr>
          <w:sz w:val="22"/>
          <w:szCs w:val="22"/>
          <w:lang w:val="en-US"/>
        </w:rPr>
        <w:tab/>
        <w:t>10.2.</w:t>
      </w:r>
      <w:r w:rsidR="00852C69">
        <w:rPr>
          <w:sz w:val="22"/>
          <w:szCs w:val="22"/>
          <w:lang w:val="en-US"/>
        </w:rPr>
        <w:t>4</w:t>
      </w:r>
    </w:p>
    <w:p w14:paraId="48E87084" w14:textId="77777777" w:rsidR="00414336" w:rsidRPr="008C7695" w:rsidRDefault="00414336" w:rsidP="00414336">
      <w:pPr>
        <w:pStyle w:val="3GPPHeader"/>
        <w:rPr>
          <w:sz w:val="22"/>
          <w:szCs w:val="22"/>
        </w:rPr>
      </w:pPr>
      <w:r w:rsidRPr="008C7695">
        <w:rPr>
          <w:sz w:val="22"/>
          <w:szCs w:val="22"/>
        </w:rPr>
        <w:t>Source:</w:t>
      </w:r>
      <w:r w:rsidRPr="008C7695">
        <w:rPr>
          <w:sz w:val="22"/>
          <w:szCs w:val="22"/>
        </w:rPr>
        <w:tab/>
        <w:t>Ericsson</w:t>
      </w:r>
    </w:p>
    <w:p w14:paraId="713C4A73" w14:textId="20A2F2E1" w:rsidR="003E1A76" w:rsidRPr="00CE0424" w:rsidRDefault="003E1A76" w:rsidP="003E1A76">
      <w:pPr>
        <w:pStyle w:val="3GPPHeader"/>
        <w:rPr>
          <w:sz w:val="22"/>
          <w:szCs w:val="22"/>
        </w:rPr>
      </w:pPr>
      <w:r>
        <w:rPr>
          <w:sz w:val="22"/>
          <w:szCs w:val="22"/>
        </w:rPr>
        <w:t>Title:</w:t>
      </w:r>
      <w:r w:rsidRPr="00CE0424">
        <w:rPr>
          <w:sz w:val="22"/>
          <w:szCs w:val="22"/>
        </w:rPr>
        <w:tab/>
      </w:r>
      <w:r w:rsidR="005720E3">
        <w:rPr>
          <w:sz w:val="22"/>
          <w:szCs w:val="22"/>
        </w:rPr>
        <w:t>Split SRB:</w:t>
      </w:r>
      <w:r w:rsidR="00852C69" w:rsidRPr="00852C69">
        <w:rPr>
          <w:sz w:val="22"/>
          <w:szCs w:val="22"/>
        </w:rPr>
        <w:t xml:space="preserve"> handover command duplication</w:t>
      </w:r>
    </w:p>
    <w:p w14:paraId="31011421" w14:textId="77777777" w:rsidR="003E1A76" w:rsidRPr="00CE0424" w:rsidRDefault="003E1A76" w:rsidP="003E1A76">
      <w:pPr>
        <w:pStyle w:val="3GPPHeader"/>
        <w:rPr>
          <w:sz w:val="22"/>
          <w:szCs w:val="22"/>
        </w:rPr>
      </w:pPr>
      <w:r w:rsidRPr="00CE0424">
        <w:rPr>
          <w:sz w:val="22"/>
          <w:szCs w:val="22"/>
        </w:rPr>
        <w:t>Document for:</w:t>
      </w:r>
      <w:r w:rsidRPr="00CE0424">
        <w:rPr>
          <w:sz w:val="22"/>
          <w:szCs w:val="22"/>
        </w:rPr>
        <w:tab/>
      </w:r>
      <w:r w:rsidRPr="004551FB">
        <w:rPr>
          <w:sz w:val="22"/>
          <w:szCs w:val="22"/>
        </w:rPr>
        <w:t>Discussion, Decision</w:t>
      </w:r>
    </w:p>
    <w:p w14:paraId="42F27143" w14:textId="77777777" w:rsidR="00E90E49" w:rsidRDefault="003E1A76" w:rsidP="003E1A76">
      <w:pPr>
        <w:pStyle w:val="Heading1"/>
      </w:pPr>
      <w:r w:rsidRPr="00CE0424">
        <w:t>Introduction</w:t>
      </w:r>
    </w:p>
    <w:p w14:paraId="11790184" w14:textId="1F024C19" w:rsidR="008571C3" w:rsidRDefault="008571C3" w:rsidP="008571C3">
      <w:r>
        <w:t xml:space="preserve">RAN2 has agreed to introduce split SRB for E-UTRA-NR Dual Connectivity. One of the main purposes of this is to provide additional robustness for important signalling like handover commands and measurements reports. In this contribution, we discuss in more detail how HO command duplication works. </w:t>
      </w:r>
    </w:p>
    <w:p w14:paraId="35161F2A" w14:textId="381CEF8F" w:rsidR="006F6A70" w:rsidRDefault="008571C3" w:rsidP="008571C3">
      <w:r>
        <w:t>For handover, w</w:t>
      </w:r>
      <w:r w:rsidR="006F6A70">
        <w:t>e could consider following scenarios:</w:t>
      </w:r>
    </w:p>
    <w:p w14:paraId="6D2CA45E" w14:textId="77EF9046" w:rsidR="006F6A70" w:rsidRDefault="006F6A70" w:rsidP="008571C3">
      <w:pPr>
        <w:pStyle w:val="ListParagraph"/>
        <w:numPr>
          <w:ilvl w:val="0"/>
          <w:numId w:val="25"/>
        </w:numPr>
      </w:pPr>
      <w:r>
        <w:t>Inter-MeNB handover to the new MeNB while SCG is released</w:t>
      </w:r>
    </w:p>
    <w:p w14:paraId="33955E1A" w14:textId="77777777" w:rsidR="008571C3" w:rsidRDefault="006F6A70" w:rsidP="008571C3">
      <w:pPr>
        <w:pStyle w:val="ListParagraph"/>
        <w:numPr>
          <w:ilvl w:val="0"/>
          <w:numId w:val="25"/>
        </w:numPr>
      </w:pPr>
      <w:r>
        <w:t>Inter-MeNB handover to the new MeNB which is same as old SCG</w:t>
      </w:r>
    </w:p>
    <w:p w14:paraId="6554433A" w14:textId="0447D687" w:rsidR="006F6A70" w:rsidRDefault="006F6A70" w:rsidP="008571C3">
      <w:pPr>
        <w:pStyle w:val="ListParagraph"/>
        <w:numPr>
          <w:ilvl w:val="0"/>
          <w:numId w:val="25"/>
        </w:numPr>
      </w:pPr>
      <w:r>
        <w:t>Inter-MeNB handover to the new MeNB while old SCG is kept</w:t>
      </w:r>
    </w:p>
    <w:p w14:paraId="52944553" w14:textId="18DE4361" w:rsidR="008571C3" w:rsidRDefault="008571C3" w:rsidP="008571C3">
      <w:pPr>
        <w:rPr>
          <w:lang w:val="en-US"/>
        </w:rPr>
      </w:pPr>
      <w:bookmarkStart w:id="1" w:name="_Ref178064866"/>
      <w:r>
        <w:rPr>
          <w:lang w:val="en-US"/>
        </w:rPr>
        <w:t xml:space="preserve">As a background, </w:t>
      </w:r>
      <w:r w:rsidR="00106103">
        <w:rPr>
          <w:lang w:val="en-US"/>
        </w:rPr>
        <w:t xml:space="preserve">in Rel-12, RAN2/RAN3 agreed to release MeNB when there is </w:t>
      </w:r>
      <w:r w:rsidR="008D247A">
        <w:rPr>
          <w:lang w:val="en-US"/>
        </w:rPr>
        <w:t xml:space="preserve">a </w:t>
      </w:r>
      <w:r w:rsidR="00106103">
        <w:rPr>
          <w:lang w:val="en-US"/>
        </w:rPr>
        <w:t xml:space="preserve">inter-MeNB handover. Later on in Rel-13, </w:t>
      </w:r>
      <w:r w:rsidR="008D247A">
        <w:rPr>
          <w:lang w:val="en-US"/>
        </w:rPr>
        <w:t xml:space="preserve">an </w:t>
      </w:r>
      <w:r w:rsidR="00106103">
        <w:rPr>
          <w:lang w:val="en-US"/>
        </w:rPr>
        <w:t>enhancement was introduced in RAN3 allowin</w:t>
      </w:r>
      <w:r w:rsidR="008D247A">
        <w:rPr>
          <w:lang w:val="en-US"/>
        </w:rPr>
        <w:t>g</w:t>
      </w:r>
      <w:r w:rsidR="00106103">
        <w:rPr>
          <w:lang w:val="en-US"/>
        </w:rPr>
        <w:t xml:space="preserve"> to keep the SCG while </w:t>
      </w:r>
      <w:r w:rsidR="008D247A">
        <w:rPr>
          <w:lang w:val="en-US"/>
        </w:rPr>
        <w:t xml:space="preserve">there is MeNB </w:t>
      </w:r>
      <w:r w:rsidR="00106103">
        <w:rPr>
          <w:lang w:val="en-US"/>
        </w:rPr>
        <w:t>handover. T</w:t>
      </w:r>
      <w:r>
        <w:rPr>
          <w:lang w:val="en-US"/>
        </w:rPr>
        <w:t>he signalling diagram for the inter-MeNB handover while old SCG is kept is shown in Annex. The description is from TS 36.300 Section 10.1.2.8.8</w:t>
      </w:r>
      <w:r w:rsidR="00106103">
        <w:rPr>
          <w:lang w:val="en-US"/>
        </w:rPr>
        <w:t xml:space="preserve">. </w:t>
      </w:r>
    </w:p>
    <w:p w14:paraId="1F528CB9" w14:textId="304095F6" w:rsidR="00BB4CD9" w:rsidRDefault="00BB4CD9" w:rsidP="008571C3">
      <w:pPr>
        <w:rPr>
          <w:lang w:val="en-US"/>
        </w:rPr>
      </w:pPr>
      <w:r>
        <w:rPr>
          <w:lang w:val="en-US"/>
        </w:rPr>
        <w:t xml:space="preserve">Related to the topic, we discuss which inter-RAT MeNB handover cases would be supported in </w:t>
      </w:r>
      <w:r w:rsidRPr="00BB4CD9">
        <w:rPr>
          <w:lang w:val="en-US"/>
        </w:rPr>
        <w:t>R2-1707205</w:t>
      </w:r>
      <w:r>
        <w:rPr>
          <w:lang w:val="en-US"/>
        </w:rPr>
        <w:t>.</w:t>
      </w:r>
    </w:p>
    <w:p w14:paraId="514F0B4E" w14:textId="3CDC5261" w:rsidR="006F6A70" w:rsidRDefault="008571C3" w:rsidP="007E4160">
      <w:pPr>
        <w:pStyle w:val="Heading2"/>
        <w:rPr>
          <w:lang w:val="en-US"/>
        </w:rPr>
      </w:pPr>
      <w:r>
        <w:t>HO command duplication</w:t>
      </w:r>
      <w:r w:rsidR="00796E71">
        <w:t xml:space="preserve"> </w:t>
      </w:r>
    </w:p>
    <w:p w14:paraId="144E7065" w14:textId="6F0968ED" w:rsidR="00EE69B9" w:rsidRDefault="00A77626" w:rsidP="008571C3">
      <w:pPr>
        <w:rPr>
          <w:lang w:val="en-US"/>
        </w:rPr>
      </w:pPr>
      <w:r>
        <w:rPr>
          <w:lang w:val="en-US"/>
        </w:rPr>
        <w:t xml:space="preserve">The main reason behind </w:t>
      </w:r>
      <w:r w:rsidR="00EE69B9">
        <w:rPr>
          <w:lang w:val="en-US"/>
        </w:rPr>
        <w:t xml:space="preserve">HO command duplication/diversity is </w:t>
      </w:r>
      <w:r>
        <w:rPr>
          <w:lang w:val="en-US"/>
        </w:rPr>
        <w:t xml:space="preserve">to enable </w:t>
      </w:r>
      <w:r w:rsidR="00EE69B9">
        <w:rPr>
          <w:lang w:val="en-US"/>
        </w:rPr>
        <w:t xml:space="preserve">the network </w:t>
      </w:r>
      <w:r>
        <w:rPr>
          <w:lang w:val="en-US"/>
        </w:rPr>
        <w:t xml:space="preserve">to </w:t>
      </w:r>
      <w:r w:rsidR="00EE69B9">
        <w:rPr>
          <w:lang w:val="en-US"/>
        </w:rPr>
        <w:t>send RRC message</w:t>
      </w:r>
      <w:r>
        <w:rPr>
          <w:lang w:val="en-US"/>
        </w:rPr>
        <w:t>s</w:t>
      </w:r>
      <w:r w:rsidR="00EE69B9">
        <w:rPr>
          <w:lang w:val="en-US"/>
        </w:rPr>
        <w:t xml:space="preserve"> over two paths, MCG and SCG. To enable this, SRB1 needs to be configured as split SRB. </w:t>
      </w:r>
      <w:r>
        <w:rPr>
          <w:lang w:val="en-US"/>
        </w:rPr>
        <w:t>T</w:t>
      </w:r>
      <w:r w:rsidR="00EE69B9">
        <w:rPr>
          <w:lang w:val="en-US"/>
        </w:rPr>
        <w:t xml:space="preserve">his way, the UE is prepared to receive RRC </w:t>
      </w:r>
      <w:r>
        <w:rPr>
          <w:lang w:val="en-US"/>
        </w:rPr>
        <w:t>signaling</w:t>
      </w:r>
      <w:r w:rsidR="00EE69B9">
        <w:rPr>
          <w:lang w:val="en-US"/>
        </w:rPr>
        <w:t xml:space="preserve"> over two paths</w:t>
      </w:r>
      <w:r>
        <w:rPr>
          <w:lang w:val="en-US"/>
        </w:rPr>
        <w:t xml:space="preserve"> and </w:t>
      </w:r>
      <w:r w:rsidR="00EE69B9">
        <w:rPr>
          <w:lang w:val="en-US"/>
        </w:rPr>
        <w:t>it can be left to network implementation which path to select for</w:t>
      </w:r>
      <w:r w:rsidR="008D247A">
        <w:rPr>
          <w:lang w:val="en-US"/>
        </w:rPr>
        <w:t xml:space="preserve"> the</w:t>
      </w:r>
      <w:r w:rsidR="00EE69B9">
        <w:rPr>
          <w:lang w:val="en-US"/>
        </w:rPr>
        <w:t xml:space="preserve"> DL message (one or two).</w:t>
      </w:r>
    </w:p>
    <w:p w14:paraId="21C72ACA" w14:textId="570B38F8" w:rsidR="008571C3" w:rsidRDefault="00EE69B9" w:rsidP="00EE69B9">
      <w:pPr>
        <w:pStyle w:val="Observation"/>
        <w:rPr>
          <w:lang w:val="en-US"/>
        </w:rPr>
      </w:pPr>
      <w:r>
        <w:rPr>
          <w:lang w:val="en-US"/>
        </w:rPr>
        <w:t>For HO command duplication, the UE needs to be configured with split SRB</w:t>
      </w:r>
      <w:r w:rsidR="00A77626">
        <w:rPr>
          <w:lang w:val="en-US"/>
        </w:rPr>
        <w:t>1</w:t>
      </w:r>
      <w:r>
        <w:rPr>
          <w:lang w:val="en-US"/>
        </w:rPr>
        <w:t xml:space="preserve">. </w:t>
      </w:r>
      <w:r w:rsidR="00A77626">
        <w:rPr>
          <w:lang w:val="en-US"/>
        </w:rPr>
        <w:t>L</w:t>
      </w:r>
      <w:r>
        <w:rPr>
          <w:lang w:val="en-US"/>
        </w:rPr>
        <w:t xml:space="preserve">ink selection and applying duplication can be left to NW implementation. </w:t>
      </w:r>
    </w:p>
    <w:p w14:paraId="75C9A966" w14:textId="64955915" w:rsidR="009E5C04" w:rsidRDefault="00F70244" w:rsidP="008571C3">
      <w:pPr>
        <w:rPr>
          <w:lang w:val="en-US"/>
        </w:rPr>
      </w:pPr>
      <w:r>
        <w:rPr>
          <w:lang w:val="en-US"/>
        </w:rPr>
        <w:t xml:space="preserve">The </w:t>
      </w:r>
      <w:r w:rsidR="00106103">
        <w:rPr>
          <w:lang w:val="en-US"/>
        </w:rPr>
        <w:t>schematic</w:t>
      </w:r>
      <w:r>
        <w:rPr>
          <w:lang w:val="en-US"/>
        </w:rPr>
        <w:t xml:space="preserve"> view of the procedure </w:t>
      </w:r>
      <w:r w:rsidR="008D247A">
        <w:rPr>
          <w:lang w:val="en-US"/>
        </w:rPr>
        <w:t xml:space="preserve">focusing on RRC part </w:t>
      </w:r>
      <w:r>
        <w:rPr>
          <w:lang w:val="en-US"/>
        </w:rPr>
        <w:t xml:space="preserve">is show in </w:t>
      </w:r>
      <w:r w:rsidR="008D247A">
        <w:rPr>
          <w:lang w:val="en-US"/>
        </w:rPr>
        <w:t>the figure below</w:t>
      </w:r>
      <w:r>
        <w:rPr>
          <w:lang w:val="en-US"/>
        </w:rPr>
        <w:t xml:space="preserve">. </w:t>
      </w:r>
      <w:r w:rsidR="00106103">
        <w:rPr>
          <w:lang w:val="en-US"/>
        </w:rPr>
        <w:t xml:space="preserve">As simplicity, we consider the case </w:t>
      </w:r>
      <w:r w:rsidR="00FA2332">
        <w:rPr>
          <w:lang w:val="en-US"/>
        </w:rPr>
        <w:t>when</w:t>
      </w:r>
      <w:r w:rsidR="00106103">
        <w:rPr>
          <w:lang w:val="en-US"/>
        </w:rPr>
        <w:t xml:space="preserve"> the SCG is released during inter-Me</w:t>
      </w:r>
      <w:r w:rsidR="00FA2332">
        <w:rPr>
          <w:lang w:val="en-US"/>
        </w:rPr>
        <w:t>NB Handover.</w:t>
      </w:r>
      <w:r w:rsidR="009E5C04">
        <w:rPr>
          <w:lang w:val="en-US"/>
        </w:rPr>
        <w:t xml:space="preserve"> The steps in the figure are:</w:t>
      </w:r>
    </w:p>
    <w:p w14:paraId="20D1629D" w14:textId="448F2FFE" w:rsidR="009E5C04" w:rsidRDefault="009E5C04" w:rsidP="008571C3">
      <w:pPr>
        <w:pStyle w:val="ListParagraph"/>
        <w:numPr>
          <w:ilvl w:val="0"/>
          <w:numId w:val="28"/>
        </w:numPr>
      </w:pPr>
      <w:r>
        <w:t xml:space="preserve">It is assumed that </w:t>
      </w:r>
      <w:r w:rsidRPr="009E5C04">
        <w:t>Du</w:t>
      </w:r>
      <w:r>
        <w:t>al Connectivity and split SRB</w:t>
      </w:r>
      <w:r w:rsidR="00A77626">
        <w:t>1</w:t>
      </w:r>
      <w:r>
        <w:t xml:space="preserve"> are configured for the UE</w:t>
      </w:r>
    </w:p>
    <w:p w14:paraId="2EA9CE54" w14:textId="77777777" w:rsidR="009E5C04" w:rsidRDefault="009E5C04" w:rsidP="008571C3">
      <w:pPr>
        <w:pStyle w:val="ListParagraph"/>
        <w:numPr>
          <w:ilvl w:val="0"/>
          <w:numId w:val="28"/>
        </w:numPr>
      </w:pPr>
      <w:r>
        <w:t xml:space="preserve">NW decides to trigger handover towards T-MeNB. </w:t>
      </w:r>
    </w:p>
    <w:p w14:paraId="67C657C0" w14:textId="721DC288" w:rsidR="009E5C04" w:rsidRDefault="009E5C04" w:rsidP="008571C3">
      <w:pPr>
        <w:pStyle w:val="ListParagraph"/>
        <w:numPr>
          <w:ilvl w:val="0"/>
          <w:numId w:val="28"/>
        </w:numPr>
      </w:pPr>
      <w:r>
        <w:t xml:space="preserve">The handover command (RRCConnectionReconfiguration with mobilityControlInfo) is sent towards the UE over </w:t>
      </w:r>
      <w:r w:rsidR="008D247A">
        <w:t xml:space="preserve">the </w:t>
      </w:r>
      <w:r>
        <w:t xml:space="preserve">MeNB and </w:t>
      </w:r>
      <w:r w:rsidR="008D247A">
        <w:t xml:space="preserve">the </w:t>
      </w:r>
      <w:r>
        <w:t>SeNB</w:t>
      </w:r>
    </w:p>
    <w:p w14:paraId="7933A68A" w14:textId="7ABCBD8F" w:rsidR="00106103" w:rsidRDefault="009E5C04" w:rsidP="008571C3">
      <w:pPr>
        <w:pStyle w:val="ListParagraph"/>
        <w:numPr>
          <w:ilvl w:val="0"/>
          <w:numId w:val="28"/>
        </w:numPr>
      </w:pPr>
      <w:r>
        <w:t>The UE receives HO command (first version). When rec</w:t>
      </w:r>
      <w:r w:rsidR="00D201EE">
        <w:t>eiving</w:t>
      </w:r>
      <w:r>
        <w:t xml:space="preserve"> handover command</w:t>
      </w:r>
      <w:r w:rsidR="00A77626">
        <w:t>,</w:t>
      </w:r>
      <w:r>
        <w:t xml:space="preserve"> the UE triggers Handover</w:t>
      </w:r>
      <w:r w:rsidR="008D247A">
        <w:t xml:space="preserve"> towards T-MeNB</w:t>
      </w:r>
      <w:r>
        <w:t>.</w:t>
      </w:r>
    </w:p>
    <w:p w14:paraId="449563C8" w14:textId="7993D78F" w:rsidR="009E5C04" w:rsidRDefault="009E5C04" w:rsidP="008571C3">
      <w:pPr>
        <w:pStyle w:val="ListParagraph"/>
        <w:numPr>
          <w:ilvl w:val="0"/>
          <w:numId w:val="28"/>
        </w:numPr>
      </w:pPr>
      <w:r>
        <w:t>The duplicate of the Handover command comes later. Assuming that the UE is not anymore connected to the node transmitting the message, it may does not receive it. If the UE receives the duplicate, then this duplicate is discarded in the PDCP layer</w:t>
      </w:r>
      <w:r w:rsidR="00A77626">
        <w:t xml:space="preserve"> [</w:t>
      </w:r>
      <w:r w:rsidR="008D247A">
        <w:t>see more in</w:t>
      </w:r>
      <w:r w:rsidR="00A77626">
        <w:t xml:space="preserve"> </w:t>
      </w:r>
      <w:r w:rsidR="00A77626" w:rsidRPr="004572F2">
        <w:t>R2-1704423</w:t>
      </w:r>
      <w:r w:rsidR="00A77626">
        <w:t>,</w:t>
      </w:r>
      <w:r w:rsidR="00A77626" w:rsidRPr="004572F2">
        <w:t>Handling of split SRBs in LTE PDCP for LTE-NR interworking</w:t>
      </w:r>
      <w:r w:rsidR="00A77626">
        <w:t>].</w:t>
      </w:r>
    </w:p>
    <w:p w14:paraId="66EA4E5D" w14:textId="77777777" w:rsidR="009E5C04" w:rsidRPr="009E5C04" w:rsidRDefault="009E5C04" w:rsidP="009E5C04">
      <w:pPr>
        <w:ind w:left="360"/>
      </w:pPr>
    </w:p>
    <w:p w14:paraId="59836674" w14:textId="77777777" w:rsidR="00FA2332" w:rsidRDefault="00FA2332" w:rsidP="008571C3">
      <w:pPr>
        <w:rPr>
          <w:lang w:val="en-US"/>
        </w:rPr>
      </w:pPr>
    </w:p>
    <w:p w14:paraId="595CF1D7" w14:textId="09999348" w:rsidR="00FA2332" w:rsidRDefault="00796E71" w:rsidP="008571C3">
      <w:pPr>
        <w:rPr>
          <w:lang w:val="en-US"/>
        </w:rPr>
      </w:pPr>
      <w:r w:rsidRPr="00796E71">
        <w:rPr>
          <w:noProof/>
          <w:lang w:val="fi-FI" w:eastAsia="fi-FI"/>
        </w:rPr>
        <mc:AlternateContent>
          <mc:Choice Requires="wpg">
            <w:drawing>
              <wp:inline distT="0" distB="0" distL="0" distR="0" wp14:anchorId="70CAF14F" wp14:editId="34985E22">
                <wp:extent cx="4887852" cy="2471628"/>
                <wp:effectExtent l="0" t="0" r="27305" b="62230"/>
                <wp:docPr id="1028" name="Group 1027"/>
                <wp:cNvGraphicFramePr/>
                <a:graphic xmlns:a="http://schemas.openxmlformats.org/drawingml/2006/main">
                  <a:graphicData uri="http://schemas.microsoft.com/office/word/2010/wordprocessingGroup">
                    <wpg:wgp>
                      <wpg:cNvGrpSpPr/>
                      <wpg:grpSpPr>
                        <a:xfrm>
                          <a:off x="0" y="0"/>
                          <a:ext cx="4887852" cy="2471628"/>
                          <a:chOff x="0" y="0"/>
                          <a:chExt cx="6038944" cy="3047692"/>
                        </a:xfrm>
                      </wpg:grpSpPr>
                      <wps:wsp>
                        <wps:cNvPr id="2" name="TextBox 7"/>
                        <wps:cNvSpPr txBox="1"/>
                        <wps:spPr>
                          <a:xfrm>
                            <a:off x="0" y="0"/>
                            <a:ext cx="444031" cy="341559"/>
                          </a:xfrm>
                          <a:prstGeom prst="rect">
                            <a:avLst/>
                          </a:prstGeom>
                          <a:noFill/>
                          <a:ln>
                            <a:solidFill>
                              <a:schemeClr val="accent1"/>
                            </a:solidFill>
                          </a:ln>
                        </wps:spPr>
                        <wps:txbx>
                          <w:txbxContent>
                            <w:p w14:paraId="15CD2FBD"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lang w:val="en-US"/>
                                </w:rPr>
                                <w:t>UE</w:t>
                              </w:r>
                            </w:p>
                          </w:txbxContent>
                        </wps:txbx>
                        <wps:bodyPr wrap="none" rtlCol="0">
                          <a:spAutoFit/>
                        </wps:bodyPr>
                      </wps:wsp>
                      <wpg:grpSp>
                        <wpg:cNvPr id="3" name="Group 3"/>
                        <wpg:cNvGrpSpPr/>
                        <wpg:grpSpPr>
                          <a:xfrm>
                            <a:off x="204021" y="0"/>
                            <a:ext cx="5834923" cy="3047692"/>
                            <a:chOff x="204021" y="0"/>
                            <a:chExt cx="5834923" cy="3047692"/>
                          </a:xfrm>
                        </wpg:grpSpPr>
                        <wps:wsp>
                          <wps:cNvPr id="4" name="TextBox 3"/>
                          <wps:cNvSpPr txBox="1"/>
                          <wps:spPr>
                            <a:xfrm>
                              <a:off x="1902460" y="0"/>
                              <a:ext cx="848875" cy="342171"/>
                            </a:xfrm>
                            <a:prstGeom prst="rect">
                              <a:avLst/>
                            </a:prstGeom>
                            <a:noFill/>
                            <a:ln>
                              <a:solidFill>
                                <a:schemeClr val="accent1"/>
                              </a:solidFill>
                            </a:ln>
                          </wps:spPr>
                          <wps:txbx>
                            <w:txbxContent>
                              <w:p w14:paraId="7BAD2BDD"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lang w:val="en-US"/>
                                  </w:rPr>
                                  <w:t>S-MeNB</w:t>
                                </w:r>
                              </w:p>
                            </w:txbxContent>
                          </wps:txbx>
                          <wps:bodyPr wrap="none" rtlCol="0">
                            <a:spAutoFit/>
                          </wps:bodyPr>
                        </wps:wsp>
                        <wps:wsp>
                          <wps:cNvPr id="5" name="TextBox 5"/>
                          <wps:cNvSpPr txBox="1"/>
                          <wps:spPr>
                            <a:xfrm>
                              <a:off x="3585720" y="8910"/>
                              <a:ext cx="792088" cy="341559"/>
                            </a:xfrm>
                            <a:prstGeom prst="rect">
                              <a:avLst/>
                            </a:prstGeom>
                            <a:noFill/>
                            <a:ln>
                              <a:solidFill>
                                <a:schemeClr val="accent1"/>
                              </a:solidFill>
                            </a:ln>
                          </wps:spPr>
                          <wps:txbx>
                            <w:txbxContent>
                              <w:p w14:paraId="3D78C50E"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lang w:val="en-US"/>
                                  </w:rPr>
                                  <w:t>SeNB</w:t>
                                </w:r>
                              </w:p>
                            </w:txbxContent>
                          </wps:txbx>
                          <wps:bodyPr wrap="square" rtlCol="0">
                            <a:spAutoFit/>
                          </wps:bodyPr>
                        </wps:wsp>
                        <wps:wsp>
                          <wps:cNvPr id="6" name="TextBox 6"/>
                          <wps:cNvSpPr txBox="1"/>
                          <wps:spPr>
                            <a:xfrm>
                              <a:off x="5184577" y="8909"/>
                              <a:ext cx="854367" cy="342171"/>
                            </a:xfrm>
                            <a:prstGeom prst="rect">
                              <a:avLst/>
                            </a:prstGeom>
                            <a:noFill/>
                            <a:ln>
                              <a:solidFill>
                                <a:schemeClr val="accent1"/>
                              </a:solidFill>
                            </a:ln>
                          </wps:spPr>
                          <wps:txbx>
                            <w:txbxContent>
                              <w:p w14:paraId="5D2C8905"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lang w:val="en-US"/>
                                  </w:rPr>
                                  <w:t>T-MeNB</w:t>
                                </w:r>
                              </w:p>
                            </w:txbxContent>
                          </wps:txbx>
                          <wps:bodyPr wrap="none" rtlCol="0">
                            <a:spAutoFit/>
                          </wps:bodyPr>
                        </wps:wsp>
                        <wps:wsp>
                          <wps:cNvPr id="7" name="Straight Arrow Connector 7"/>
                          <wps:cNvCnPr>
                            <a:stCxn id="2" idx="2"/>
                          </wps:cNvCnPr>
                          <wps:spPr>
                            <a:xfrm>
                              <a:off x="222016" y="341559"/>
                              <a:ext cx="2027" cy="270613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2349962" y="369332"/>
                              <a:ext cx="0" cy="26783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a:off x="5661773" y="378242"/>
                              <a:ext cx="0" cy="2669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flipH="1">
                              <a:off x="3956040" y="378242"/>
                              <a:ext cx="6366" cy="2669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flipH="1">
                              <a:off x="222176" y="1103476"/>
                              <a:ext cx="2127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2" name="TextBox 17"/>
                          <wps:cNvSpPr txBox="1"/>
                          <wps:spPr>
                            <a:xfrm>
                              <a:off x="204021" y="826408"/>
                              <a:ext cx="2228102" cy="303804"/>
                            </a:xfrm>
                            <a:prstGeom prst="rect">
                              <a:avLst/>
                            </a:prstGeom>
                            <a:noFill/>
                          </wps:spPr>
                          <wps:txbx>
                            <w:txbxContent>
                              <w:p w14:paraId="109163FB"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sz w:val="20"/>
                                    <w:szCs w:val="20"/>
                                    <w:lang w:val="en-US"/>
                                  </w:rPr>
                                  <w:t>RRCConnectionReconfiguration</w:t>
                                </w:r>
                              </w:p>
                            </w:txbxContent>
                          </wps:txbx>
                          <wps:bodyPr wrap="none" rtlCol="0">
                            <a:spAutoFit/>
                          </wps:bodyPr>
                        </wps:wsp>
                        <wps:wsp>
                          <wps:cNvPr id="13" name="TextBox 22"/>
                          <wps:cNvSpPr txBox="1"/>
                          <wps:spPr>
                            <a:xfrm>
                              <a:off x="383896" y="1463682"/>
                              <a:ext cx="3035396" cy="303804"/>
                            </a:xfrm>
                            <a:prstGeom prst="rect">
                              <a:avLst/>
                            </a:prstGeom>
                            <a:noFill/>
                          </wps:spPr>
                          <wps:txbx>
                            <w:txbxContent>
                              <w:p w14:paraId="34B53B86"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sz w:val="20"/>
                                    <w:szCs w:val="20"/>
                                    <w:lang w:val="en-US"/>
                                  </w:rPr>
                                  <w:t>Duplicate of RRCConnectionReconfiguration</w:t>
                                </w:r>
                              </w:p>
                            </w:txbxContent>
                          </wps:txbx>
                          <wps:bodyPr wrap="none" rtlCol="0">
                            <a:spAutoFit/>
                          </wps:bodyPr>
                        </wps:wsp>
                        <wps:wsp>
                          <wps:cNvPr id="14" name="Straight Arrow Connector 14"/>
                          <wps:cNvCnPr/>
                          <wps:spPr>
                            <a:xfrm flipV="1">
                              <a:off x="222176" y="2284576"/>
                              <a:ext cx="5439597" cy="891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5" name="Freeform 15"/>
                          <wps:cNvSpPr/>
                          <wps:spPr>
                            <a:xfrm>
                              <a:off x="224040" y="1152674"/>
                              <a:ext cx="3732000" cy="311131"/>
                            </a:xfrm>
                            <a:custGeom>
                              <a:avLst/>
                              <a:gdLst>
                                <a:gd name="connsiteX0" fmla="*/ 2138516 w 3732000"/>
                                <a:gd name="connsiteY0" fmla="*/ 24125 h 311131"/>
                                <a:gd name="connsiteX1" fmla="*/ 3731342 w 3732000"/>
                                <a:gd name="connsiteY1" fmla="*/ 24125 h 311131"/>
                                <a:gd name="connsiteX2" fmla="*/ 1976284 w 3732000"/>
                                <a:gd name="connsiteY2" fmla="*/ 274848 h 311131"/>
                                <a:gd name="connsiteX3" fmla="*/ 0 w 3732000"/>
                                <a:gd name="connsiteY3" fmla="*/ 304345 h 311131"/>
                              </a:gdLst>
                              <a:ahLst/>
                              <a:cxnLst>
                                <a:cxn ang="0">
                                  <a:pos x="connsiteX0" y="connsiteY0"/>
                                </a:cxn>
                                <a:cxn ang="0">
                                  <a:pos x="connsiteX1" y="connsiteY1"/>
                                </a:cxn>
                                <a:cxn ang="0">
                                  <a:pos x="connsiteX2" y="connsiteY2"/>
                                </a:cxn>
                                <a:cxn ang="0">
                                  <a:pos x="connsiteX3" y="connsiteY3"/>
                                </a:cxn>
                              </a:cxnLst>
                              <a:rect l="l" t="t" r="r" b="b"/>
                              <a:pathLst>
                                <a:path w="3732000" h="311131">
                                  <a:moveTo>
                                    <a:pt x="2138516" y="24125"/>
                                  </a:moveTo>
                                  <a:cubicBezTo>
                                    <a:pt x="2948448" y="3231"/>
                                    <a:pt x="3758381" y="-17662"/>
                                    <a:pt x="3731342" y="24125"/>
                                  </a:cubicBezTo>
                                  <a:cubicBezTo>
                                    <a:pt x="3704303" y="65912"/>
                                    <a:pt x="2598174" y="228145"/>
                                    <a:pt x="1976284" y="274848"/>
                                  </a:cubicBezTo>
                                  <a:cubicBezTo>
                                    <a:pt x="1354394" y="321551"/>
                                    <a:pt x="677197" y="312948"/>
                                    <a:pt x="0" y="304345"/>
                                  </a:cubicBezTo>
                                </a:path>
                              </a:pathLst>
                            </a:custGeom>
                            <a:noFill/>
                            <a:ln w="12700">
                              <a:prstDash val="dash"/>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TextBox 26"/>
                          <wps:cNvSpPr txBox="1"/>
                          <wps:spPr>
                            <a:xfrm>
                              <a:off x="444339" y="2048810"/>
                              <a:ext cx="2847106" cy="303804"/>
                            </a:xfrm>
                            <a:prstGeom prst="rect">
                              <a:avLst/>
                            </a:prstGeom>
                            <a:noFill/>
                          </wps:spPr>
                          <wps:txbx>
                            <w:txbxContent>
                              <w:p w14:paraId="27B94505"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sz w:val="20"/>
                                    <w:szCs w:val="20"/>
                                    <w:lang w:val="en-US"/>
                                  </w:rPr>
                                  <w:t>RRCConnectionReconfigurationComplete</w:t>
                                </w:r>
                              </w:p>
                            </w:txbxContent>
                          </wps:txbx>
                          <wps:bodyPr wrap="none" rtlCol="0">
                            <a:spAutoFit/>
                          </wps:bodyPr>
                        </wps:wsp>
                      </wpg:grpSp>
                    </wpg:wgp>
                  </a:graphicData>
                </a:graphic>
              </wp:inline>
            </w:drawing>
          </mc:Choice>
          <mc:Fallback>
            <w:pict>
              <v:group id="Group 1027" o:spid="_x0000_s1026" style="width:384.85pt;height:194.6pt;mso-position-horizontal-relative:char;mso-position-vertical-relative:line" coordsize="60389,30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">
                <v:shapetype id="_x0000_t202" coordsize="21600,21600" o:spt="202" path="m,l,21600r21600,l21600,xe">
                  <v:stroke joinstyle="miter"/>
                  <v:path gradientshapeok="t" o:connecttype="rect"/>
                </v:shapetype>
                <v:shape id="TextBox 7" o:spid="_x0000_s1027" type="#_x0000_t202" style="position:absolute;width:4440;height:34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jbBsAA&#10;AADaAAAADwAAAGRycy9kb3ducmV2LnhtbERPTYvCMBS8C/6H8IS9abrCLlJNiysUvexB7cHjs3m2&#10;xealNNF2/fVmQfA2w3wxq3QwjbhT52rLCj5nEQjiwuqaSwX5MZsuQDiPrLGxTAr+yEGajEcrjLXt&#10;eU/3gy9FKGEXo4LK+zaW0hUVGXQz2xIH7WI7gz7QrpS6wz6Um0bOo+hbGqw5LFTY0qai4nq4GQVn&#10;HB4B9nn5+Pk93bZZ9rVpM6U+JsN6CcLT4N/mV3qnFczh/0q4ATJ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9jbBsAAAADaAAAADwAAAAAAAAAAAAAAAACYAgAAZHJzL2Rvd25y&#10;ZXYueG1sUEsFBgAAAAAEAAQA9QAAAIUDAAAAAA==&#10;" filled="f" strokecolor="#5b9bd5 [3204]">
                  <v:textbox style="mso-fit-shape-to-text:t">
                    <w:txbxContent>
                      <w:p w14:paraId="15CD2FBD"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lang w:val="en-US"/>
                          </w:rPr>
                          <w:t>UE</w:t>
                        </w:r>
                      </w:p>
                    </w:txbxContent>
                  </v:textbox>
                </v:shape>
                <v:group id="Group 3" o:spid="_x0000_s1028" style="position:absolute;left:2040;width:58349;height:30476" coordorigin="2040" coordsize="58349,30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TextBox 3" o:spid="_x0000_s1029" type="#_x0000_t202" style="position:absolute;left:19024;width:8489;height:34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3m6cIA&#10;AADaAAAADwAAAGRycy9kb3ducmV2LnhtbERPy2rDMBC8F/oPYgu91XJDU4oTxaQGk1x6SOpDj1tr&#10;Y5tYK2PJj+Trq0CgtxnmxazT2bRipN41lhW8RjEI4tLqhisFxXf+8gHCeWSNrWVScCEH6ebxYY2J&#10;thMfaDz6SoQSdgkqqL3vEildWZNBF9mOOGgn2xv0gfaV1D1Oody0chHH79Jgw2Ghxo6ymsrzcTAK&#10;fnG+BjgV1fXz62fY5fky63Klnp/m7QqEp9n/m+/pvVbwBrcr4Qb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febpwgAAANoAAAAPAAAAAAAAAAAAAAAAAJgCAABkcnMvZG93&#10;bnJldi54bWxQSwUGAAAAAAQABAD1AAAAhwMAAAAA&#10;" filled="f" strokecolor="#5b9bd5 [3204]">
                    <v:textbox style="mso-fit-shape-to-text:t">
                      <w:txbxContent>
                        <w:p w14:paraId="7BAD2BDD"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lang w:val="en-US"/>
                            </w:rPr>
                            <w:t>S-MeNB</w:t>
                          </w:r>
                        </w:p>
                      </w:txbxContent>
                    </v:textbox>
                  </v:shape>
                  <v:shape id="TextBox 5" o:spid="_x0000_s1030" type="#_x0000_t202" style="position:absolute;left:35857;top:89;width:7921;height:3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3ORMMA&#10;AADaAAAADwAAAGRycy9kb3ducmV2LnhtbESPUWvCQBCE3wv+h2MLvumllZY29RRbKAQqVNMi+Lbk&#10;tkkwtxdya4z/3hOEPg4z8w0zXw6uUT11ofZs4GGagCIuvK25NPD78zl5ARUE2WLjmQycKcByMbqb&#10;Y2r9ibfU51KqCOGQooFKpE21DkVFDsPUt8TR+/OdQ4myK7Xt8BThrtGPSfKsHdYcFyps6aOi4pAf&#10;nYHDZv3dU77PZrvstZdZbd+/tBgzvh9Wb6CEBvkP39qZNfAE1yvxBu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3ORMMAAADaAAAADwAAAAAAAAAAAAAAAACYAgAAZHJzL2Rv&#10;d25yZXYueG1sUEsFBgAAAAAEAAQA9QAAAIgDAAAAAA==&#10;" filled="f" strokecolor="#5b9bd5 [3204]">
                    <v:textbox style="mso-fit-shape-to-text:t">
                      <w:txbxContent>
                        <w:p w14:paraId="3D78C50E"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lang w:val="en-US"/>
                            </w:rPr>
                            <w:t>SeNB</w:t>
                          </w:r>
                        </w:p>
                      </w:txbxContent>
                    </v:textbox>
                  </v:shape>
                  <v:shape id="TextBox 6" o:spid="_x0000_s1031" type="#_x0000_t202" style="position:absolute;left:51845;top:89;width:8544;height:34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dBb8A&#10;AADaAAAADwAAAGRycy9kb3ducmV2LnhtbERPTYvCMBS8L/gfwhO8ramCslTTokLRiwddD3t82zzb&#10;YvNSmmirv94IgrcZ5otZpr2pxY1aV1lWMBlHIIhzqysuFJx+s+8fEM4ja6wtk4I7OUiTwdcSY207&#10;PtDt6AsRStjFqKD0vomldHlJBt3YNsRBO9vWoA+0LaRusQvlppbTKJpLgxWHhRIb2pSUX45Xo+Af&#10;+0eA3al4rPd/122WzTZNptRo2K8WIDz1/mN+p3dawRxeV8INkM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490FvwAAANoAAAAPAAAAAAAAAAAAAAAAAJgCAABkcnMvZG93bnJl&#10;di54bWxQSwUGAAAAAAQABAD1AAAAhAMAAAAA&#10;" filled="f" strokecolor="#5b9bd5 [3204]">
                    <v:textbox style="mso-fit-shape-to-text:t">
                      <w:txbxContent>
                        <w:p w14:paraId="5D2C8905"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lang w:val="en-US"/>
                            </w:rPr>
                            <w:t>T-MeNB</w:t>
                          </w:r>
                        </w:p>
                      </w:txbxContent>
                    </v:textbox>
                  </v:shape>
                  <v:shapetype id="_x0000_t32" coordsize="21600,21600" o:spt="32" o:oned="t" path="m,l21600,21600e" filled="f">
                    <v:path arrowok="t" fillok="f" o:connecttype="none"/>
                    <o:lock v:ext="edit" shapetype="t"/>
                  </v:shapetype>
                  <v:shape id="Straight Arrow Connector 7" o:spid="_x0000_s1032" type="#_x0000_t32" style="position:absolute;left:2220;top:3415;width:20;height:270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6QsMAAADaAAAADwAAAGRycy9kb3ducmV2LnhtbESPQWvCQBSE7wX/w/KE3upGD7ZEV5GA&#10;IBTEphGvz+wzG82+DdmtRn99t1DwOMzMN8x82dtGXKnztWMF41ECgrh0uuZKQfG9fvsA4QOyxsYx&#10;KbiTh+Vi8DLHVLsbf9E1D5WIEPYpKjAhtKmUvjRk0Y9cSxy9k+sshii7SuoObxFuGzlJkqm0WHNc&#10;MNhSZqi85D9WwWdWPApT7PZ5cj6es/uDdofVVqnXYb+agQjUh2f4v73RCt7h70q8AXL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1OkLDAAAA2gAAAA8AAAAAAAAAAAAA&#10;AAAAoQIAAGRycy9kb3ducmV2LnhtbFBLBQYAAAAABAAEAPkAAACRAwAAAAA=&#10;" strokecolor="#5b9bd5 [3204]" strokeweight=".5pt">
                    <v:stroke endarrow="open" joinstyle="miter"/>
                  </v:shape>
                  <v:shape id="Straight Arrow Connector 8" o:spid="_x0000_s1033" type="#_x0000_t32" style="position:absolute;left:23499;top:3693;width:0;height:267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quMMAAAADaAAAADwAAAGRycy9kb3ducmV2LnhtbERPTYvCMBC9C/6HMMLeNNXDItUoUlgQ&#10;hEVrxetsM9vUbSalyWr115uD4PHxvpfr3jbiSp2vHSuYThIQxKXTNVcKiuPXeA7CB2SNjWNScCcP&#10;69VwsMRUuxsf6JqHSsQQ9ikqMCG0qZS+NGTRT1xLHLlf11kMEXaV1B3eYrht5CxJPqXFmmODwZYy&#10;Q+Vf/m8V7LLiUZhif8qTy88luz9of958K/Ux6jcLEIH68Ba/3FutIG6NV+INkK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FqrjDAAAAA2gAAAA8AAAAAAAAAAAAAAAAA&#10;oQIAAGRycy9kb3ducmV2LnhtbFBLBQYAAAAABAAEAPkAAACOAwAAAAA=&#10;" strokecolor="#5b9bd5 [3204]" strokeweight=".5pt">
                    <v:stroke endarrow="open" joinstyle="miter"/>
                  </v:shape>
                  <v:shape id="Straight Arrow Connector 9" o:spid="_x0000_s1034" type="#_x0000_t32" style="position:absolute;left:56617;top:3782;width:0;height:266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YLq8MAAADaAAAADwAAAGRycy9kb3ducmV2LnhtbESPQWvCQBSE7wX/w/KE3upGD9JGV5GA&#10;IBTEphGvz+wzG82+DdmtRn99t1DwOMzMN8x82dtGXKnztWMF41ECgrh0uuZKQfG9fnsH4QOyxsYx&#10;KbiTh+Vi8DLHVLsbf9E1D5WIEPYpKjAhtKmUvjRk0Y9cSxy9k+sshii7SuoObxFuGzlJkqm0WHNc&#10;MNhSZqi85D9WwWdWPApT7PZ5cj6es/uDdofVVqnXYb+agQjUh2f4v73RCj7g70q8AXL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4mC6vDAAAA2gAAAA8AAAAAAAAAAAAA&#10;AAAAoQIAAGRycy9kb3ducmV2LnhtbFBLBQYAAAAABAAEAPkAAACRAwAAAAA=&#10;" strokecolor="#5b9bd5 [3204]" strokeweight=".5pt">
                    <v:stroke endarrow="open" joinstyle="miter"/>
                  </v:shape>
                  <v:shape id="Straight Arrow Connector 10" o:spid="_x0000_s1035" type="#_x0000_t32" style="position:absolute;left:39560;top:3782;width:64;height:266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cvl8MAAADbAAAADwAAAGRycy9kb3ducmV2LnhtbESPQWvCQBCF7wX/wzJCL0U37aFIdBUV&#10;BMFDaRTE25Ads8HsbMhuTfz3nYPgbYb35r1vFqvBN+pOXawDG/icZqCIy2BrrgycjrvJDFRMyBab&#10;wGTgQRFWy9HbAnMbev6le5EqJSEcczTgUmpzrWPpyGOchpZYtGvoPCZZu0rbDnsJ943+yrJv7bFm&#10;aXDY0tZReSv+vIFNqLg8eHSXn217Y/oo+vPmYcz7eFjPQSUa0sv8vN5bwRd6+UUG0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3L5fDAAAA2wAAAA8AAAAAAAAAAAAA&#10;AAAAoQIAAGRycy9kb3ducmV2LnhtbFBLBQYAAAAABAAEAPkAAACRAwAAAAA=&#10;" strokecolor="#5b9bd5 [3204]" strokeweight=".5pt">
                    <v:stroke endarrow="open" joinstyle="miter"/>
                  </v:shape>
                  <v:shape id="Straight Arrow Connector 11" o:spid="_x0000_s1036" type="#_x0000_t32" style="position:absolute;left:2221;top:11034;width:2127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uKDMEAAADbAAAADwAAAGRycy9kb3ducmV2LnhtbERPS2vCQBC+C/6HZQq9iG7soUjqGhpB&#10;EHoojYL0NmTHbDA7G7JrHv++WxC8zcf3nG022kb01PnasYL1KgFBXDpdc6XgfDosNyB8QNbYOCYF&#10;E3nIdvPZFlPtBv6hvgiViCHsU1RgQmhTKX1pyKJfuZY4clfXWQwRdpXUHQ4x3DbyLUnepcWaY4PB&#10;lvaGyltxtwpyV3H5ZdH8fu/bG9OiGC75pNTry/j5ASLQGJ7ih/uo4/w1/P8SD5C7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4oMwQAAANsAAAAPAAAAAAAAAAAAAAAA&#10;AKECAABkcnMvZG93bnJldi54bWxQSwUGAAAAAAQABAD5AAAAjwMAAAAA&#10;" strokecolor="#5b9bd5 [3204]" strokeweight=".5pt">
                    <v:stroke endarrow="open" joinstyle="miter"/>
                  </v:shape>
                  <v:shape id="TextBox 17" o:spid="_x0000_s1037" type="#_x0000_t202" style="position:absolute;left:2040;top:8264;width:22281;height:30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14:paraId="109163FB"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sz w:val="20"/>
                              <w:szCs w:val="20"/>
                              <w:lang w:val="en-US"/>
                            </w:rPr>
                            <w:t>RRCConnectionReconfiguration</w:t>
                          </w:r>
                        </w:p>
                      </w:txbxContent>
                    </v:textbox>
                  </v:shape>
                  <v:shape id="TextBox 22" o:spid="_x0000_s1038" type="#_x0000_t202" style="position:absolute;left:3838;top:14636;width:30354;height:30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34B53B86"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sz w:val="20"/>
                              <w:szCs w:val="20"/>
                              <w:lang w:val="en-US"/>
                            </w:rPr>
                            <w:t>Duplicate of RRCConnectionReconfiguration</w:t>
                          </w:r>
                        </w:p>
                      </w:txbxContent>
                    </v:textbox>
                  </v:shape>
                  <v:shape id="Straight Arrow Connector 14" o:spid="_x0000_s1039" type="#_x0000_t32" style="position:absolute;left:2221;top:22845;width:54396;height:8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wplMEAAADbAAAADwAAAGRycy9kb3ducmV2LnhtbERPyWrDMBC9B/oPYgq9hFpuKKE4lkMT&#10;CAR6KHUCpbfBmlgm1shYipe/rwqF3Obx1sm3k23FQL1vHCt4SVIQxJXTDdcKzqfD8xsIH5A1to5J&#10;wUwetsXDIsdMu5G/aChDLWII+wwVmBC6TEpfGbLoE9cRR+7ieoshwr6WuscxhttWrtJ0LS02HBsM&#10;drQ3VF3Lm1WwczVXHxbNz+e+uzIty/F7Nyv19Di9b0AEmsJd/O8+6jj/Ff5+iQfI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zCmUwQAAANsAAAAPAAAAAAAAAAAAAAAA&#10;AKECAABkcnMvZG93bnJldi54bWxQSwUGAAAAAAQABAD5AAAAjwMAAAAA&#10;" strokecolor="#5b9bd5 [3204]" strokeweight=".5pt">
                    <v:stroke endarrow="open" joinstyle="miter"/>
                  </v:shape>
                  <v:shape id="Freeform 15" o:spid="_x0000_s1040" style="position:absolute;left:2240;top:11526;width:37320;height:3112;visibility:visible;mso-wrap-style:square;v-text-anchor:middle" coordsize="3732000,3111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TEDsEA&#10;AADbAAAADwAAAGRycy9kb3ducmV2LnhtbERP32vCMBB+H/g/hBN8GTNRmEhnFFEEcSCzjj0fzdlW&#10;m0tpYu3865eB4Nt9fD9vtuhsJVpqfOlYw2ioQBBnzpSca/g+bt6mIHxANlg5Jg2/5GEx773MMDHu&#10;xgdq05CLGMI+QQ1FCHUipc8KsuiHriaO3Mk1FkOETS5Ng7cYbis5VmoiLZYcGwqsaVVQdkmvVgPX&#10;61aty6/d3d4/w6uy++n5Z6/1oN8tP0AE6sJT/HBvTZz/Dv+/xAPk/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kxA7BAAAA2wAAAA8AAAAAAAAAAAAAAAAAmAIAAGRycy9kb3du&#10;cmV2LnhtbFBLBQYAAAAABAAEAPUAAACGAwAAAAA=&#10;" path="m2138516,24125v809932,-20894,1619865,-41787,1592826,c3704303,65912,2598174,228145,1976284,274848,1354394,321551,677197,312948,,304345e" filled="f" strokecolor="#1f4d78 [1604]" strokeweight="1pt">
                    <v:stroke dashstyle="dash" endarrow="block" joinstyle="miter"/>
                    <v:path arrowok="t" o:connecttype="custom" o:connectlocs="2138516,24125;3731342,24125;1976284,274848;0,304345" o:connectangles="0,0,0,0"/>
                  </v:shape>
                  <v:shape id="TextBox 26" o:spid="_x0000_s1041" type="#_x0000_t202" style="position:absolute;left:4443;top:20488;width:28471;height:30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XHNMEA&#10;AADbAAAADwAAAGRycy9kb3ducmV2LnhtbERPzWrCQBC+F3yHZYTemo3SikZXEW3BW2v0AYbsNJsm&#10;Oxuy2yT16buFgrf5+H5nsxttI3rqfOVYwSxJQRAXTldcKrhe3p6WIHxA1tg4JgU/5GG3nTxsMNNu&#10;4DP1eShFDGGfoQITQptJ6QtDFn3iWuLIfbrOYoiwK6XucIjhtpHzNF1IixXHBoMtHQwVdf5tFSxT&#10;+17Xq/mHt8+32Ys5HN1r+6XU43Tcr0EEGsNd/O8+6Th/AX+/x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lxzTBAAAA2wAAAA8AAAAAAAAAAAAAAAAAmAIAAGRycy9kb3du&#10;cmV2LnhtbFBLBQYAAAAABAAEAPUAAACGAwAAAAA=&#10;" filled="f" stroked="f">
                    <v:textbox style="mso-fit-shape-to-text:t">
                      <w:txbxContent>
                        <w:p w14:paraId="27B94505"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sz w:val="20"/>
                              <w:szCs w:val="20"/>
                              <w:lang w:val="en-US"/>
                            </w:rPr>
                            <w:t>RRCConnectionReconfigurationComplete</w:t>
                          </w:r>
                        </w:p>
                      </w:txbxContent>
                    </v:textbox>
                  </v:shape>
                </v:group>
                <w10:anchorlock/>
              </v:group>
            </w:pict>
          </mc:Fallback>
        </mc:AlternateContent>
      </w:r>
    </w:p>
    <w:p w14:paraId="180F25FB" w14:textId="6B15A2DB" w:rsidR="00106103" w:rsidRDefault="00106103" w:rsidP="008571C3">
      <w:pPr>
        <w:rPr>
          <w:lang w:val="en-US"/>
        </w:rPr>
      </w:pPr>
    </w:p>
    <w:p w14:paraId="6E32F781" w14:textId="27C1605F" w:rsidR="00D201EE" w:rsidRPr="00D201EE" w:rsidRDefault="00357AB8" w:rsidP="006F6A70">
      <w:pPr>
        <w:rPr>
          <w:lang w:eastAsia="ja-JP"/>
        </w:rPr>
      </w:pPr>
      <w:r>
        <w:rPr>
          <w:lang w:eastAsia="ja-JP"/>
        </w:rPr>
        <w:t>Next we study the</w:t>
      </w:r>
      <w:r w:rsidR="00796E71">
        <w:rPr>
          <w:lang w:eastAsia="ja-JP"/>
        </w:rPr>
        <w:t xml:space="preserve"> whole signalling for the case when SeNB is released during MeNB handover. </w:t>
      </w:r>
      <w:r w:rsidR="00D201EE" w:rsidRPr="00D201EE">
        <w:rPr>
          <w:lang w:eastAsia="ja-JP"/>
        </w:rPr>
        <w:t>The overall picture including Uu and X2 sig</w:t>
      </w:r>
      <w:r w:rsidR="00A77626">
        <w:rPr>
          <w:lang w:eastAsia="ja-JP"/>
        </w:rPr>
        <w:t>na</w:t>
      </w:r>
      <w:r w:rsidR="00D201EE" w:rsidRPr="00D201EE">
        <w:rPr>
          <w:lang w:eastAsia="ja-JP"/>
        </w:rPr>
        <w:t xml:space="preserve">lling looks </w:t>
      </w:r>
      <w:r w:rsidR="00A77626">
        <w:rPr>
          <w:lang w:eastAsia="ja-JP"/>
        </w:rPr>
        <w:t xml:space="preserve">like the </w:t>
      </w:r>
      <w:r w:rsidR="00D201EE" w:rsidRPr="00D201EE">
        <w:rPr>
          <w:lang w:eastAsia="ja-JP"/>
        </w:rPr>
        <w:t>following</w:t>
      </w:r>
      <w:r w:rsidR="00D201EE">
        <w:rPr>
          <w:lang w:eastAsia="ja-JP"/>
        </w:rPr>
        <w:t xml:space="preserve"> (following LTE Rel-12 procedures)</w:t>
      </w:r>
      <w:r w:rsidR="00D201EE" w:rsidRPr="00D201EE">
        <w:rPr>
          <w:lang w:eastAsia="ja-JP"/>
        </w:rPr>
        <w:t>:</w:t>
      </w:r>
    </w:p>
    <w:p w14:paraId="08AA11D6" w14:textId="344DEFEC" w:rsidR="00D201EE" w:rsidRDefault="00D201EE" w:rsidP="006F6A70">
      <w:pPr>
        <w:rPr>
          <w:b/>
          <w:lang w:eastAsia="ja-JP"/>
        </w:rPr>
      </w:pPr>
      <w:r>
        <w:rPr>
          <w:b/>
          <w:lang w:eastAsia="ja-JP"/>
        </w:rPr>
        <w:t xml:space="preserve"> </w:t>
      </w:r>
    </w:p>
    <w:p w14:paraId="6638A91A" w14:textId="77777777" w:rsidR="00986236" w:rsidRPr="005132EF" w:rsidRDefault="00986236" w:rsidP="00986236">
      <w:pPr>
        <w:pStyle w:val="TH"/>
      </w:pPr>
      <w:r w:rsidRPr="005132EF">
        <w:object w:dxaOrig="12570" w:dyaOrig="7031" w14:anchorId="714E5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41.5pt" o:ole="">
            <v:imagedata r:id="rId15" o:title=""/>
          </v:shape>
          <o:OLEObject Type="Embed" ProgID="Visio.Drawing.11" ShapeID="_x0000_i1025" DrawAspect="Content" ObjectID="_1559164683" r:id="rId16"/>
        </w:object>
      </w:r>
    </w:p>
    <w:p w14:paraId="26BC3944" w14:textId="1DEDB1FC" w:rsidR="00986236" w:rsidRPr="005132EF" w:rsidRDefault="00986236" w:rsidP="00986236">
      <w:pPr>
        <w:pStyle w:val="TF"/>
        <w:rPr>
          <w:lang w:eastAsia="ja-JP"/>
        </w:rPr>
      </w:pPr>
      <w:r w:rsidRPr="005132EF">
        <w:rPr>
          <w:lang w:eastAsia="ja-JP"/>
        </w:rPr>
        <w:t>Figure 10.1.2.8.</w:t>
      </w:r>
      <w:r w:rsidRPr="005132EF">
        <w:rPr>
          <w:rFonts w:hint="eastAsia"/>
          <w:lang w:eastAsia="ja-JP"/>
        </w:rPr>
        <w:t>5</w:t>
      </w:r>
      <w:r w:rsidRPr="005132EF">
        <w:rPr>
          <w:lang w:eastAsia="ja-JP"/>
        </w:rPr>
        <w:t>-1: MeNB to eNB Change procedure</w:t>
      </w:r>
      <w:r>
        <w:rPr>
          <w:lang w:eastAsia="ja-JP"/>
        </w:rPr>
        <w:t xml:space="preserve"> (copy from TS 36.300)</w:t>
      </w:r>
    </w:p>
    <w:p w14:paraId="7F7B04CC" w14:textId="5600A1DC" w:rsidR="00D201EE" w:rsidRDefault="00D201EE" w:rsidP="006F6A70">
      <w:pPr>
        <w:rPr>
          <w:b/>
          <w:lang w:eastAsia="ja-JP"/>
        </w:rPr>
      </w:pPr>
    </w:p>
    <w:p w14:paraId="505104E2" w14:textId="2CFA0554" w:rsidR="006F6A70" w:rsidRDefault="006F6A70" w:rsidP="006F6A70">
      <w:pPr>
        <w:rPr>
          <w:lang w:val="en-US"/>
        </w:rPr>
      </w:pPr>
    </w:p>
    <w:p w14:paraId="7F65C03C" w14:textId="5AF7C75C" w:rsidR="00D201EE" w:rsidRDefault="00D201EE" w:rsidP="00D201EE">
      <w:r>
        <w:rPr>
          <w:lang w:val="en-US"/>
        </w:rPr>
        <w:t xml:space="preserve">In the LTE Rel-12 procedure, </w:t>
      </w:r>
      <w:r>
        <w:rPr>
          <w:lang w:eastAsia="ja-JP"/>
        </w:rPr>
        <w:t>“</w:t>
      </w:r>
      <w:r w:rsidRPr="00D201EE">
        <w:t xml:space="preserve">SeNB Release Request” message (3. message) triggers the source SeNB to stop providing user data to the UE and, if applicable, to start data forwarding. However, when </w:t>
      </w:r>
      <w:r w:rsidR="00796E71">
        <w:t>SRB duplications or split</w:t>
      </w:r>
      <w:r w:rsidRPr="00D201EE">
        <w:t xml:space="preserve"> is used, the SeNB needs to serve</w:t>
      </w:r>
      <w:r>
        <w:t xml:space="preserve"> the UE for </w:t>
      </w:r>
      <w:r w:rsidR="00796E71">
        <w:t xml:space="preserve">the </w:t>
      </w:r>
      <w:r>
        <w:t>PDCP data</w:t>
      </w:r>
      <w:r w:rsidR="00796E71">
        <w:t xml:space="preserve"> even after this message</w:t>
      </w:r>
      <w:r w:rsidRPr="00D201EE">
        <w:t>.</w:t>
      </w:r>
    </w:p>
    <w:p w14:paraId="70DD5A5A" w14:textId="409AD83B" w:rsidR="00D201EE" w:rsidRDefault="00D201EE" w:rsidP="00D201EE">
      <w:r>
        <w:t xml:space="preserve">The SeNB can </w:t>
      </w:r>
      <w:r w:rsidR="00265B6A">
        <w:t xml:space="preserve">latest </w:t>
      </w:r>
      <w:r>
        <w:t xml:space="preserve">release the UE </w:t>
      </w:r>
      <w:r w:rsidR="00796E71">
        <w:t xml:space="preserve">context </w:t>
      </w:r>
      <w:r>
        <w:t>when receiving “UE Context Release” in Message 14.</w:t>
      </w:r>
    </w:p>
    <w:p w14:paraId="0467AEAB" w14:textId="0B4627DB" w:rsidR="00796E71" w:rsidRPr="00D201EE" w:rsidRDefault="00796E71" w:rsidP="00796E71">
      <w:pPr>
        <w:pStyle w:val="Proposal"/>
        <w:rPr>
          <w:lang w:val="en-US"/>
        </w:rPr>
      </w:pPr>
      <w:bookmarkStart w:id="2" w:name="_Toc481786653"/>
      <w:bookmarkStart w:id="3" w:name="_Toc481845565"/>
      <w:r>
        <w:rPr>
          <w:lang w:val="en-US"/>
        </w:rPr>
        <w:t>For the case when SeNB is released during inter-MeNB HO, Rel-12 procedures</w:t>
      </w:r>
      <w:r w:rsidR="00265B6A">
        <w:rPr>
          <w:lang w:val="en-US"/>
        </w:rPr>
        <w:t xml:space="preserve"> need to be modified so that the SeNB does not release the UE context too early</w:t>
      </w:r>
      <w:r>
        <w:rPr>
          <w:lang w:val="en-US"/>
        </w:rPr>
        <w:t xml:space="preserve">. Details are to be </w:t>
      </w:r>
      <w:r w:rsidR="00056FD0">
        <w:rPr>
          <w:lang w:val="en-US"/>
        </w:rPr>
        <w:t xml:space="preserve">discussed </w:t>
      </w:r>
      <w:r>
        <w:rPr>
          <w:lang w:val="en-US"/>
        </w:rPr>
        <w:t>in RAN3.</w:t>
      </w:r>
      <w:bookmarkEnd w:id="2"/>
      <w:bookmarkEnd w:id="3"/>
    </w:p>
    <w:bookmarkEnd w:id="1"/>
    <w:p w14:paraId="63DFDC3D" w14:textId="77777777" w:rsidR="009259AC" w:rsidRPr="00CE0424" w:rsidRDefault="009259AC" w:rsidP="009259AC">
      <w:pPr>
        <w:pStyle w:val="BodyText"/>
      </w:pPr>
    </w:p>
    <w:p w14:paraId="6C95EC83" w14:textId="51B313F1" w:rsidR="0056088F" w:rsidRDefault="0056088F" w:rsidP="0056088F">
      <w:pPr>
        <w:pStyle w:val="Heading2"/>
        <w:rPr>
          <w:lang w:val="en-US"/>
        </w:rPr>
      </w:pPr>
      <w:r>
        <w:rPr>
          <w:lang w:val="en-US"/>
        </w:rPr>
        <w:t>Overall signalling over Uu and X2 when SeNB is kept</w:t>
      </w:r>
    </w:p>
    <w:p w14:paraId="68016041" w14:textId="37DA8808" w:rsidR="0056088F" w:rsidRDefault="00CA4AEF" w:rsidP="0056088F">
      <w:pPr>
        <w:rPr>
          <w:lang w:val="en-US"/>
        </w:rPr>
      </w:pPr>
      <w:r>
        <w:rPr>
          <w:lang w:val="en-US"/>
        </w:rPr>
        <w:t>In this section, we study the case when the SeNB is kept during MeNB-handover with SRB diversity. In principle, we believe that mechanism as introduced in Rel-13 can be reused with some modifications.</w:t>
      </w:r>
    </w:p>
    <w:p w14:paraId="2A968418" w14:textId="77777777" w:rsidR="00986236" w:rsidRDefault="00986236" w:rsidP="00986236">
      <w:pPr>
        <w:pStyle w:val="TH"/>
        <w:rPr>
          <w:rFonts w:ascii="Times New Roman" w:hAnsi="Times New Roman"/>
          <w:lang w:eastAsia="ja-JP"/>
        </w:rPr>
      </w:pPr>
      <w:r w:rsidRPr="007C606A">
        <w:rPr>
          <w:rFonts w:ascii="Times New Roman" w:hAnsi="Times New Roman"/>
        </w:rPr>
        <w:object w:dxaOrig="12571" w:dyaOrig="7698" w14:anchorId="1FA8D23F">
          <v:shape id="_x0000_i1026" type="#_x0000_t75" style="width:431.25pt;height:264pt" o:ole="">
            <v:imagedata r:id="rId17" o:title=""/>
          </v:shape>
          <o:OLEObject Type="Embed" ProgID="Visio.Drawing.11" ShapeID="_x0000_i1026" DrawAspect="Content" ObjectID="_1559164684" r:id="rId18"/>
        </w:object>
      </w:r>
    </w:p>
    <w:p w14:paraId="6B5651F3" w14:textId="42D1C093" w:rsidR="00986236" w:rsidRPr="00144A22" w:rsidRDefault="00986236" w:rsidP="00986236">
      <w:pPr>
        <w:pStyle w:val="TF"/>
        <w:rPr>
          <w:lang w:eastAsia="ja-JP"/>
        </w:rPr>
      </w:pPr>
      <w:r w:rsidRPr="00654432">
        <w:rPr>
          <w:lang w:eastAsia="ja-JP"/>
        </w:rPr>
        <w:t>Figure 10.1.</w:t>
      </w:r>
      <w:r w:rsidRPr="00654432">
        <w:rPr>
          <w:rFonts w:hint="eastAsia"/>
          <w:lang w:eastAsia="ja-JP"/>
        </w:rPr>
        <w:t>2</w:t>
      </w:r>
      <w:r w:rsidRPr="00654432">
        <w:rPr>
          <w:lang w:eastAsia="ja-JP"/>
        </w:rPr>
        <w:t>.</w:t>
      </w:r>
      <w:r w:rsidRPr="00654432">
        <w:rPr>
          <w:lang w:eastAsia="zh-CN"/>
        </w:rPr>
        <w:t>8.</w:t>
      </w:r>
      <w:r>
        <w:rPr>
          <w:lang w:eastAsia="zh-CN"/>
        </w:rPr>
        <w:t>8</w:t>
      </w:r>
      <w:r w:rsidRPr="00654432">
        <w:rPr>
          <w:lang w:eastAsia="ja-JP"/>
        </w:rPr>
        <w:t>-1</w:t>
      </w:r>
      <w:r>
        <w:rPr>
          <w:lang w:eastAsia="ja-JP"/>
        </w:rPr>
        <w:t xml:space="preserve">: </w:t>
      </w:r>
      <w:r>
        <w:rPr>
          <w:rFonts w:hint="eastAsia"/>
          <w:lang w:eastAsia="ja-JP"/>
        </w:rPr>
        <w:t>Inter-</w:t>
      </w:r>
      <w:r>
        <w:rPr>
          <w:lang w:eastAsia="ja-JP"/>
        </w:rPr>
        <w:t xml:space="preserve">MeNB </w:t>
      </w:r>
      <w:r>
        <w:rPr>
          <w:rFonts w:hint="eastAsia"/>
          <w:lang w:eastAsia="ja-JP"/>
        </w:rPr>
        <w:t>handover without SeNB change</w:t>
      </w:r>
      <w:r>
        <w:rPr>
          <w:lang w:eastAsia="ja-JP"/>
        </w:rPr>
        <w:t xml:space="preserve"> (copy from TS 36.300)</w:t>
      </w:r>
    </w:p>
    <w:p w14:paraId="373AAB80" w14:textId="4E2FB220" w:rsidR="00CA4AEF" w:rsidRDefault="006672CE" w:rsidP="0056088F">
      <w:r>
        <w:t xml:space="preserve">Similarly to the previous case, LTE Rel-13 procedures can be </w:t>
      </w:r>
      <w:r w:rsidR="00265B6A">
        <w:t>taken as starting point</w:t>
      </w:r>
      <w:r>
        <w:t xml:space="preserve">. However, main difference is that in Step 5 (SeNB Release Request), the MeNB needs to indicate </w:t>
      </w:r>
      <w:r w:rsidR="00265B6A">
        <w:t xml:space="preserve">to the SeNB </w:t>
      </w:r>
      <w:r>
        <w:t xml:space="preserve">that the SeNB needs to </w:t>
      </w:r>
      <w:r w:rsidR="00265B6A">
        <w:t xml:space="preserve">continue to serve </w:t>
      </w:r>
      <w:r>
        <w:t xml:space="preserve">UE </w:t>
      </w:r>
      <w:r w:rsidR="00265B6A">
        <w:t xml:space="preserve">and </w:t>
      </w:r>
      <w:r>
        <w:t>provide RRC PDU</w:t>
      </w:r>
      <w:r w:rsidR="00265B6A">
        <w:t>s</w:t>
      </w:r>
      <w:r>
        <w:t xml:space="preserve"> including HO command). </w:t>
      </w:r>
    </w:p>
    <w:p w14:paraId="73C0ED0E" w14:textId="6A95E343" w:rsidR="00986236" w:rsidRDefault="006672CE" w:rsidP="006672CE">
      <w:pPr>
        <w:rPr>
          <w:lang w:val="en-US" w:eastAsia="ja-JP"/>
        </w:rPr>
      </w:pPr>
      <w:r>
        <w:t>When the UE receives HandoverCommand (i</w:t>
      </w:r>
      <w:r w:rsidR="00265B6A">
        <w:t>.</w:t>
      </w:r>
      <w:r>
        <w:t>e., RRCConnectionReconfiguration including MobilityControlInfo)  it triggers Random Access towards the target MeNB. In addition, the UE also performs “SCG Change” procedure as keys need to be changed (</w:t>
      </w:r>
      <w:r w:rsidR="00265B6A">
        <w:t xml:space="preserve">as </w:t>
      </w:r>
      <w:r>
        <w:t>both K-NB and S-KeNB</w:t>
      </w:r>
      <w:r w:rsidR="00265B6A">
        <w:t xml:space="preserve"> change</w:t>
      </w:r>
      <w:r>
        <w:t xml:space="preserve">). This triggers Random access towards </w:t>
      </w:r>
      <w:r w:rsidR="00265B6A">
        <w:t xml:space="preserve">the </w:t>
      </w:r>
      <w:r>
        <w:t>SeNB.  The SeNB needs</w:t>
      </w:r>
      <w:r w:rsidR="00265B6A">
        <w:t xml:space="preserve"> to</w:t>
      </w:r>
      <w:r>
        <w:t xml:space="preserve"> deduce from Random Access or similar mechanism that security keys are changed</w:t>
      </w:r>
      <w:r w:rsidR="00BF2794">
        <w:t xml:space="preserve"> and the UE has applied new RRC configuration (if any)</w:t>
      </w:r>
      <w:r>
        <w:t>.</w:t>
      </w:r>
      <w:r w:rsidR="00630193">
        <w:t xml:space="preserve"> </w:t>
      </w:r>
    </w:p>
    <w:p w14:paraId="0A6C0C5E" w14:textId="77777777" w:rsidR="006672CE" w:rsidRDefault="006672CE" w:rsidP="006672CE">
      <w:pPr>
        <w:rPr>
          <w:lang w:val="en-US" w:eastAsia="ja-JP"/>
        </w:rPr>
      </w:pPr>
    </w:p>
    <w:p w14:paraId="1B5FFC91" w14:textId="16D15CE1" w:rsidR="006672CE" w:rsidRDefault="006672CE" w:rsidP="006672CE">
      <w:pPr>
        <w:pStyle w:val="Proposal"/>
        <w:rPr>
          <w:lang w:val="en-US" w:eastAsia="ja-JP"/>
        </w:rPr>
      </w:pPr>
      <w:bookmarkStart w:id="4" w:name="_Toc481786654"/>
      <w:bookmarkStart w:id="5" w:name="_Toc481845566"/>
      <w:r>
        <w:rPr>
          <w:lang w:val="en-US" w:eastAsia="ja-JP"/>
        </w:rPr>
        <w:t xml:space="preserve">For MeNB-HO with SRB diversity when SeNB is kept, existing </w:t>
      </w:r>
      <w:r w:rsidR="00265B6A">
        <w:rPr>
          <w:lang w:val="en-US" w:eastAsia="ja-JP"/>
        </w:rPr>
        <w:t>procedures need to be modified so that the SeNB keeps sending PDCP PDUs corresponding to the SRB data to the UE</w:t>
      </w:r>
      <w:r>
        <w:rPr>
          <w:lang w:val="en-US" w:eastAsia="ja-JP"/>
        </w:rPr>
        <w:t>. However, details are to be discussed in RAN3.</w:t>
      </w:r>
      <w:bookmarkEnd w:id="4"/>
      <w:bookmarkEnd w:id="5"/>
    </w:p>
    <w:p w14:paraId="6319BA22" w14:textId="1342F564" w:rsidR="006672CE" w:rsidRDefault="00630193" w:rsidP="006672CE">
      <w:pPr>
        <w:pStyle w:val="Proposal"/>
        <w:rPr>
          <w:lang w:val="en-US" w:eastAsia="ja-JP"/>
        </w:rPr>
      </w:pPr>
      <w:bookmarkStart w:id="6" w:name="_Toc481786655"/>
      <w:bookmarkStart w:id="7" w:name="_Toc481845567"/>
      <w:r>
        <w:rPr>
          <w:lang w:val="en-US" w:eastAsia="ja-JP"/>
        </w:rPr>
        <w:t>Send LS to RAN3 to adopt X2 procedures accordingly</w:t>
      </w:r>
      <w:bookmarkEnd w:id="6"/>
      <w:bookmarkEnd w:id="7"/>
    </w:p>
    <w:p w14:paraId="08C84325" w14:textId="77777777" w:rsidR="006672CE" w:rsidRPr="00880F77" w:rsidRDefault="006672CE" w:rsidP="006672CE">
      <w:pPr>
        <w:pStyle w:val="Proposal"/>
        <w:numPr>
          <w:ilvl w:val="0"/>
          <w:numId w:val="0"/>
        </w:numPr>
        <w:ind w:left="1701" w:hanging="1701"/>
        <w:rPr>
          <w:lang w:val="en-US" w:eastAsia="ja-JP"/>
        </w:rPr>
      </w:pPr>
    </w:p>
    <w:p w14:paraId="6BE0389A" w14:textId="77777777" w:rsidR="00986236" w:rsidRDefault="00986236" w:rsidP="0056088F">
      <w:pPr>
        <w:rPr>
          <w:lang w:val="en-US"/>
        </w:rPr>
      </w:pPr>
    </w:p>
    <w:p w14:paraId="17D6870A" w14:textId="4ED86A7B" w:rsidR="0056088F" w:rsidRDefault="00BF2794" w:rsidP="00BF2794">
      <w:pPr>
        <w:pStyle w:val="Heading1"/>
        <w:rPr>
          <w:lang w:val="en-US"/>
        </w:rPr>
      </w:pPr>
      <w:r>
        <w:rPr>
          <w:lang w:val="en-US"/>
        </w:rPr>
        <w:t>Conclusion</w:t>
      </w:r>
    </w:p>
    <w:p w14:paraId="5F79C6B3" w14:textId="5C0D9616" w:rsidR="00BF2794" w:rsidRDefault="00BF2794" w:rsidP="00BF2794">
      <w:pPr>
        <w:rPr>
          <w:lang w:val="en-US"/>
        </w:rPr>
      </w:pPr>
      <w:r>
        <w:rPr>
          <w:lang w:val="en-US"/>
        </w:rPr>
        <w:t xml:space="preserve">In this paper we have discussed procedures for HO command duplication.  We </w:t>
      </w:r>
      <w:r w:rsidR="005079A6">
        <w:rPr>
          <w:lang w:val="en-US"/>
        </w:rPr>
        <w:t>made the following proposals:</w:t>
      </w:r>
    </w:p>
    <w:p w14:paraId="4F7C2C41" w14:textId="77777777" w:rsidR="00056FD0" w:rsidRPr="00056FD0" w:rsidRDefault="005079A6">
      <w:pPr>
        <w:pStyle w:val="TOC1"/>
        <w:rPr>
          <w:rFonts w:asciiTheme="minorHAnsi" w:eastAsiaTheme="minorEastAsia" w:hAnsiTheme="minorHAnsi" w:cstheme="minorBidi"/>
          <w:b w:val="0"/>
          <w:sz w:val="22"/>
          <w:lang w:eastAsia="fi-FI"/>
        </w:rPr>
      </w:pPr>
      <w:r>
        <w:rPr>
          <w:b w:val="0"/>
          <w:bCs/>
        </w:rPr>
        <w:lastRenderedPageBreak/>
        <w:fldChar w:fldCharType="begin"/>
      </w:r>
      <w:r>
        <w:rPr>
          <w:bCs/>
        </w:rPr>
        <w:instrText xml:space="preserve"> TOC \f \n \p " " \t "Proposal;1" </w:instrText>
      </w:r>
      <w:r>
        <w:rPr>
          <w:b w:val="0"/>
          <w:bCs/>
        </w:rPr>
        <w:fldChar w:fldCharType="separate"/>
      </w:r>
      <w:r w:rsidR="00056FD0" w:rsidRPr="00FF797B">
        <w:t>Proposal 1</w:t>
      </w:r>
      <w:r w:rsidR="00056FD0" w:rsidRPr="00056FD0">
        <w:rPr>
          <w:rFonts w:asciiTheme="minorHAnsi" w:eastAsiaTheme="minorEastAsia" w:hAnsiTheme="minorHAnsi" w:cstheme="minorBidi"/>
          <w:b w:val="0"/>
          <w:sz w:val="22"/>
          <w:lang w:eastAsia="fi-FI"/>
        </w:rPr>
        <w:tab/>
      </w:r>
      <w:r w:rsidR="00056FD0" w:rsidRPr="00FF797B">
        <w:t>For the case when SeNB is released during inter-MeNB HO, Rel-12 procedures need to be modified so that the SeNB does not release the UE context too early. Details are to be discussed in RAN3.</w:t>
      </w:r>
    </w:p>
    <w:p w14:paraId="69BA8A9C" w14:textId="77777777" w:rsidR="00056FD0" w:rsidRPr="00056FD0" w:rsidRDefault="00056FD0">
      <w:pPr>
        <w:pStyle w:val="TOC1"/>
        <w:rPr>
          <w:rFonts w:asciiTheme="minorHAnsi" w:eastAsiaTheme="minorEastAsia" w:hAnsiTheme="minorHAnsi" w:cstheme="minorBidi"/>
          <w:b w:val="0"/>
          <w:sz w:val="22"/>
          <w:lang w:eastAsia="fi-FI"/>
        </w:rPr>
      </w:pPr>
      <w:r w:rsidRPr="00FF797B">
        <w:rPr>
          <w:lang w:eastAsia="ja-JP"/>
        </w:rPr>
        <w:t>Proposal 2</w:t>
      </w:r>
      <w:r w:rsidRPr="00056FD0">
        <w:rPr>
          <w:rFonts w:asciiTheme="minorHAnsi" w:eastAsiaTheme="minorEastAsia" w:hAnsiTheme="minorHAnsi" w:cstheme="minorBidi"/>
          <w:b w:val="0"/>
          <w:sz w:val="22"/>
          <w:lang w:eastAsia="fi-FI"/>
        </w:rPr>
        <w:tab/>
      </w:r>
      <w:r w:rsidRPr="00FF797B">
        <w:rPr>
          <w:lang w:eastAsia="ja-JP"/>
        </w:rPr>
        <w:t>For MeNB-HO with SRB diversity when SeNB is kept, existing procedures need to be modified so that the SeNB keeps sending PDCP PDUs corresponding to the SRB data to the UE. However, details are to be discussed in RAN3.</w:t>
      </w:r>
    </w:p>
    <w:p w14:paraId="34646A13" w14:textId="77777777" w:rsidR="00056FD0" w:rsidRPr="00056FD0" w:rsidRDefault="00056FD0">
      <w:pPr>
        <w:pStyle w:val="TOC1"/>
        <w:rPr>
          <w:rFonts w:asciiTheme="minorHAnsi" w:eastAsiaTheme="minorEastAsia" w:hAnsiTheme="minorHAnsi" w:cstheme="minorBidi"/>
          <w:b w:val="0"/>
          <w:sz w:val="22"/>
          <w:lang w:eastAsia="fi-FI"/>
        </w:rPr>
      </w:pPr>
      <w:r w:rsidRPr="00FF797B">
        <w:rPr>
          <w:lang w:eastAsia="ja-JP"/>
        </w:rPr>
        <w:t>Proposal 3</w:t>
      </w:r>
      <w:r w:rsidRPr="00056FD0">
        <w:rPr>
          <w:rFonts w:asciiTheme="minorHAnsi" w:eastAsiaTheme="minorEastAsia" w:hAnsiTheme="minorHAnsi" w:cstheme="minorBidi"/>
          <w:b w:val="0"/>
          <w:sz w:val="22"/>
          <w:lang w:eastAsia="fi-FI"/>
        </w:rPr>
        <w:tab/>
      </w:r>
      <w:r w:rsidRPr="00FF797B">
        <w:rPr>
          <w:lang w:eastAsia="ja-JP"/>
        </w:rPr>
        <w:t>Send LS to RAN3 to adopt X2 procedures accordingly</w:t>
      </w:r>
    </w:p>
    <w:p w14:paraId="2B905B5C" w14:textId="258B3567" w:rsidR="005079A6" w:rsidRPr="00BF2794" w:rsidRDefault="005079A6" w:rsidP="005079A6">
      <w:pPr>
        <w:rPr>
          <w:lang w:val="en-US"/>
        </w:rPr>
      </w:pPr>
      <w:r>
        <w:rPr>
          <w:b/>
          <w:bCs/>
        </w:rPr>
        <w:fldChar w:fldCharType="end"/>
      </w:r>
    </w:p>
    <w:p w14:paraId="7A3173A3" w14:textId="65431923" w:rsidR="00AB487B" w:rsidRDefault="008571C3" w:rsidP="008571C3">
      <w:pPr>
        <w:pStyle w:val="Heading1"/>
      </w:pPr>
      <w:r>
        <w:t>Annex</w:t>
      </w:r>
    </w:p>
    <w:p w14:paraId="69464E62" w14:textId="77777777" w:rsidR="008571C3" w:rsidRPr="005132EF" w:rsidRDefault="008571C3" w:rsidP="008571C3">
      <w:pPr>
        <w:pStyle w:val="Heading5"/>
        <w:numPr>
          <w:ilvl w:val="0"/>
          <w:numId w:val="0"/>
        </w:numPr>
        <w:ind w:left="1008" w:hanging="1008"/>
        <w:rPr>
          <w:lang w:eastAsia="ja-JP"/>
        </w:rPr>
      </w:pPr>
      <w:bookmarkStart w:id="8" w:name="_Toc462781053"/>
      <w:r w:rsidRPr="005132EF">
        <w:rPr>
          <w:lang w:eastAsia="ja-JP"/>
        </w:rPr>
        <w:t>10.1.2.8.</w:t>
      </w:r>
      <w:r>
        <w:rPr>
          <w:lang w:eastAsia="ja-JP"/>
        </w:rPr>
        <w:t>8</w:t>
      </w:r>
      <w:r w:rsidRPr="005132EF">
        <w:rPr>
          <w:lang w:eastAsia="ja-JP"/>
        </w:rPr>
        <w:tab/>
      </w:r>
      <w:r w:rsidRPr="00654432">
        <w:rPr>
          <w:lang w:eastAsia="ja-JP"/>
        </w:rPr>
        <w:t>Inter-MeNB handover without SeNB change</w:t>
      </w:r>
      <w:bookmarkEnd w:id="8"/>
    </w:p>
    <w:p w14:paraId="4939F8FE" w14:textId="77777777" w:rsidR="008571C3" w:rsidRDefault="008571C3" w:rsidP="008571C3">
      <w:pPr>
        <w:rPr>
          <w:lang w:val="en-US" w:eastAsia="ja-JP"/>
        </w:rPr>
      </w:pPr>
      <w:r>
        <w:rPr>
          <w:rFonts w:hint="eastAsia"/>
          <w:lang w:val="en-US"/>
        </w:rPr>
        <w:t>Inter-MeNB handover without SeNB change</w:t>
      </w:r>
      <w:r>
        <w:rPr>
          <w:lang w:val="en-US"/>
        </w:rPr>
        <w:t xml:space="preserve"> </w:t>
      </w:r>
      <w:r w:rsidRPr="00144A22">
        <w:rPr>
          <w:rFonts w:hint="eastAsia"/>
          <w:lang w:val="en-US"/>
        </w:rPr>
        <w:t xml:space="preserve">is used </w:t>
      </w:r>
      <w:r w:rsidRPr="00144A22">
        <w:rPr>
          <w:lang w:val="en-US"/>
        </w:rPr>
        <w:t>to</w:t>
      </w:r>
      <w:r>
        <w:rPr>
          <w:lang w:val="en-US"/>
        </w:rPr>
        <w:t xml:space="preserve"> transfer context data from a source MeNB to a target </w:t>
      </w:r>
      <w:r>
        <w:rPr>
          <w:rFonts w:hint="eastAsia"/>
          <w:lang w:val="en-US"/>
        </w:rPr>
        <w:t>M</w:t>
      </w:r>
      <w:r>
        <w:rPr>
          <w:lang w:val="en-US"/>
        </w:rPr>
        <w:t>eNB</w:t>
      </w:r>
      <w:r>
        <w:rPr>
          <w:rFonts w:hint="eastAsia"/>
          <w:lang w:val="en-US"/>
        </w:rPr>
        <w:t xml:space="preserve"> while the context at the SeNB is kept</w:t>
      </w:r>
      <w:r w:rsidRPr="00022958">
        <w:rPr>
          <w:lang w:val="en-US"/>
        </w:rPr>
        <w:t>.</w:t>
      </w:r>
    </w:p>
    <w:p w14:paraId="27F5BEC1" w14:textId="77777777" w:rsidR="006672CE" w:rsidRPr="007C606A" w:rsidRDefault="008571C3" w:rsidP="008571C3">
      <w:pPr>
        <w:pStyle w:val="TH"/>
        <w:rPr>
          <w:rFonts w:ascii="Times New Roman" w:hAnsi="Times New Roman"/>
        </w:rPr>
      </w:pPr>
      <w:r w:rsidRPr="007C606A">
        <w:rPr>
          <w:rFonts w:ascii="Times New Roman" w:hAnsi="Times New Roman"/>
        </w:rPr>
        <w:object w:dxaOrig="12571" w:dyaOrig="7698" w14:anchorId="457D0C1B">
          <v:shape id="_x0000_i1027" type="#_x0000_t75" style="width:431.25pt;height:264pt" o:ole="">
            <v:imagedata r:id="rId17" o:title=""/>
          </v:shape>
          <o:OLEObject Type="Embed" ProgID="Visio.Drawing.11" ShapeID="_x0000_i1027" DrawAspect="Content" ObjectID="_1559164685" r:id="rId19"/>
        </w:object>
      </w:r>
    </w:p>
    <w:p w14:paraId="5011F79F" w14:textId="1B83BCFC" w:rsidR="008571C3" w:rsidRDefault="008571C3" w:rsidP="008571C3">
      <w:pPr>
        <w:pStyle w:val="TH"/>
        <w:rPr>
          <w:rFonts w:ascii="Times New Roman" w:hAnsi="Times New Roman"/>
          <w:lang w:eastAsia="ja-JP"/>
        </w:rPr>
      </w:pPr>
    </w:p>
    <w:p w14:paraId="5C557650" w14:textId="77777777" w:rsidR="008571C3" w:rsidRPr="00144A22" w:rsidRDefault="008571C3" w:rsidP="008571C3">
      <w:pPr>
        <w:pStyle w:val="TF"/>
        <w:rPr>
          <w:lang w:eastAsia="ja-JP"/>
        </w:rPr>
      </w:pPr>
      <w:r w:rsidRPr="00654432">
        <w:rPr>
          <w:lang w:eastAsia="ja-JP"/>
        </w:rPr>
        <w:t>Figure 10.1.</w:t>
      </w:r>
      <w:r w:rsidRPr="00654432">
        <w:rPr>
          <w:rFonts w:hint="eastAsia"/>
          <w:lang w:eastAsia="ja-JP"/>
        </w:rPr>
        <w:t>2</w:t>
      </w:r>
      <w:r w:rsidRPr="00654432">
        <w:rPr>
          <w:lang w:eastAsia="ja-JP"/>
        </w:rPr>
        <w:t>.</w:t>
      </w:r>
      <w:r w:rsidRPr="00654432">
        <w:rPr>
          <w:lang w:eastAsia="zh-CN"/>
        </w:rPr>
        <w:t>8.</w:t>
      </w:r>
      <w:r>
        <w:rPr>
          <w:lang w:eastAsia="zh-CN"/>
        </w:rPr>
        <w:t>8</w:t>
      </w:r>
      <w:r w:rsidRPr="00654432">
        <w:rPr>
          <w:lang w:eastAsia="ja-JP"/>
        </w:rPr>
        <w:t>-1</w:t>
      </w:r>
      <w:r>
        <w:rPr>
          <w:lang w:eastAsia="ja-JP"/>
        </w:rPr>
        <w:t xml:space="preserve">: </w:t>
      </w:r>
      <w:r>
        <w:rPr>
          <w:rFonts w:hint="eastAsia"/>
          <w:lang w:eastAsia="ja-JP"/>
        </w:rPr>
        <w:t>Inter-</w:t>
      </w:r>
      <w:r>
        <w:rPr>
          <w:lang w:eastAsia="ja-JP"/>
        </w:rPr>
        <w:t xml:space="preserve">MeNB </w:t>
      </w:r>
      <w:r>
        <w:rPr>
          <w:rFonts w:hint="eastAsia"/>
          <w:lang w:eastAsia="ja-JP"/>
        </w:rPr>
        <w:t>handover without SeNB change</w:t>
      </w:r>
    </w:p>
    <w:p w14:paraId="55A8B5F3" w14:textId="77777777" w:rsidR="008571C3" w:rsidRPr="0035350B" w:rsidRDefault="008571C3" w:rsidP="008571C3">
      <w:pPr>
        <w:rPr>
          <w:lang w:val="en-US"/>
        </w:rPr>
      </w:pPr>
      <w:r>
        <w:rPr>
          <w:lang w:val="en-US"/>
        </w:rPr>
        <w:t xml:space="preserve">Figure </w:t>
      </w:r>
      <w:r>
        <w:rPr>
          <w:rFonts w:hint="eastAsia"/>
          <w:lang w:val="en-US" w:eastAsia="ja-JP"/>
        </w:rPr>
        <w:t>10.1.2.8.</w:t>
      </w:r>
      <w:r>
        <w:rPr>
          <w:lang w:val="en-US" w:eastAsia="ja-JP"/>
        </w:rPr>
        <w:t>8</w:t>
      </w:r>
      <w:r>
        <w:rPr>
          <w:rFonts w:hint="eastAsia"/>
          <w:lang w:val="en-US" w:eastAsia="ja-JP"/>
        </w:rPr>
        <w:t>-1</w:t>
      </w:r>
      <w:r w:rsidRPr="00144A22">
        <w:rPr>
          <w:lang w:val="en-US"/>
        </w:rPr>
        <w:t xml:space="preserve"> shows an example signaling flow for </w:t>
      </w:r>
      <w:r>
        <w:rPr>
          <w:rFonts w:hint="eastAsia"/>
          <w:lang w:val="en-US"/>
        </w:rPr>
        <w:t>i</w:t>
      </w:r>
      <w:r w:rsidRPr="0035350B">
        <w:rPr>
          <w:lang w:val="en-US"/>
        </w:rPr>
        <w:t>nter-MeNB handover without SeNB change</w:t>
      </w:r>
      <w:r>
        <w:rPr>
          <w:rFonts w:hint="eastAsia"/>
          <w:lang w:val="en-US"/>
        </w:rPr>
        <w:t>:</w:t>
      </w:r>
    </w:p>
    <w:p w14:paraId="445911C8" w14:textId="77777777" w:rsidR="008571C3" w:rsidRDefault="008571C3" w:rsidP="008571C3">
      <w:pPr>
        <w:pStyle w:val="B1"/>
        <w:rPr>
          <w:lang w:eastAsia="ja-JP"/>
        </w:rPr>
      </w:pPr>
      <w:r>
        <w:rPr>
          <w:lang w:val="en-US" w:eastAsia="ja-JP"/>
        </w:rPr>
        <w:t>1.</w:t>
      </w:r>
      <w:r>
        <w:rPr>
          <w:lang w:val="en-US" w:eastAsia="ja-JP"/>
        </w:rPr>
        <w:tab/>
        <w:t xml:space="preserve">The source </w:t>
      </w:r>
      <w:r>
        <w:rPr>
          <w:rFonts w:hint="eastAsia"/>
          <w:lang w:val="en-US" w:eastAsia="ja-JP"/>
        </w:rPr>
        <w:t>M</w:t>
      </w:r>
      <w:r w:rsidRPr="00144A22">
        <w:rPr>
          <w:lang w:val="en-US" w:eastAsia="ja-JP"/>
        </w:rPr>
        <w:t xml:space="preserve">eNB starts </w:t>
      </w:r>
      <w:r>
        <w:rPr>
          <w:rFonts w:hint="eastAsia"/>
          <w:lang w:val="en-US" w:eastAsia="ja-JP"/>
        </w:rPr>
        <w:t>the handover</w:t>
      </w:r>
      <w:r w:rsidRPr="00144A22">
        <w:rPr>
          <w:lang w:val="en-US" w:eastAsia="ja-JP"/>
        </w:rPr>
        <w:t xml:space="preserve"> procedure by initiating the X2 Handover Preparation procedure.</w:t>
      </w:r>
      <w:r w:rsidRPr="00144A22">
        <w:rPr>
          <w:rFonts w:hint="eastAsia"/>
          <w:lang w:val="en-US" w:eastAsia="ja-JP"/>
        </w:rPr>
        <w:t xml:space="preserve"> </w:t>
      </w:r>
      <w:r w:rsidRPr="00144A22">
        <w:rPr>
          <w:rFonts w:hint="eastAsia"/>
          <w:lang w:eastAsia="ja-JP"/>
        </w:rPr>
        <w:t>T</w:t>
      </w:r>
      <w:r w:rsidRPr="00144A22">
        <w:rPr>
          <w:lang w:eastAsia="ja-JP"/>
        </w:rPr>
        <w:t xml:space="preserve">he source MeNB includes the SCG configuration in the </w:t>
      </w:r>
      <w:r w:rsidRPr="00144A22">
        <w:rPr>
          <w:i/>
          <w:lang w:eastAsia="ja-JP"/>
        </w:rPr>
        <w:t>HandoverPreparationInformation</w:t>
      </w:r>
      <w:r w:rsidRPr="00144A22">
        <w:rPr>
          <w:lang w:eastAsia="ja-JP"/>
        </w:rPr>
        <w:t>.</w:t>
      </w:r>
      <w:r>
        <w:rPr>
          <w:rFonts w:hint="eastAsia"/>
          <w:lang w:eastAsia="zh-CN"/>
        </w:rPr>
        <w:t xml:space="preserve"> </w:t>
      </w:r>
      <w:r w:rsidRPr="0053768B">
        <w:t xml:space="preserve">The source MeNB includes the SeNB UE X2AP ID and SeNB ID as a reference to the UE context in the SeNB that was established by the </w:t>
      </w:r>
      <w:r w:rsidRPr="0053768B">
        <w:rPr>
          <w:rFonts w:hint="eastAsia"/>
          <w:lang w:eastAsia="ja-JP"/>
        </w:rPr>
        <w:t>s</w:t>
      </w:r>
      <w:r w:rsidRPr="0053768B">
        <w:t>ource MeNB in the Handover Request message.</w:t>
      </w:r>
    </w:p>
    <w:p w14:paraId="280BEBB7" w14:textId="77777777" w:rsidR="008571C3" w:rsidRDefault="008571C3" w:rsidP="008571C3">
      <w:pPr>
        <w:pStyle w:val="B1"/>
        <w:rPr>
          <w:lang w:val="en-US" w:eastAsia="ja-JP"/>
        </w:rPr>
      </w:pPr>
      <w:r w:rsidRPr="00144A22">
        <w:rPr>
          <w:lang w:val="en-US" w:eastAsia="ja-JP"/>
        </w:rPr>
        <w:t>2.</w:t>
      </w:r>
      <w:r w:rsidRPr="00144A22">
        <w:rPr>
          <w:lang w:val="en-US" w:eastAsia="ja-JP"/>
        </w:rPr>
        <w:tab/>
      </w:r>
      <w:r w:rsidRPr="0053768B">
        <w:rPr>
          <w:rFonts w:hint="eastAsia"/>
          <w:lang w:val="en-US" w:eastAsia="ja-JP"/>
        </w:rPr>
        <w:t>If the target MeNB decides to keep the SeNB,</w:t>
      </w:r>
      <w:r>
        <w:rPr>
          <w:rFonts w:hint="eastAsia"/>
          <w:lang w:val="en-US" w:eastAsia="ja-JP"/>
        </w:rPr>
        <w:t xml:space="preserve"> the target MeNB sends SeNB Addition Request to the SeNB</w:t>
      </w:r>
      <w:r>
        <w:rPr>
          <w:rFonts w:hint="eastAsia"/>
          <w:lang w:val="en-US" w:eastAsia="zh-CN"/>
        </w:rPr>
        <w:t xml:space="preserve"> including </w:t>
      </w:r>
      <w:r w:rsidRPr="00F07018">
        <w:rPr>
          <w:rFonts w:eastAsia="Malgun Gothic" w:hint="eastAsia"/>
          <w:lang w:eastAsia="ko-KR"/>
        </w:rPr>
        <w:t xml:space="preserve">the SeNB UE X2AP ID </w:t>
      </w:r>
      <w:r>
        <w:rPr>
          <w:rFonts w:hint="eastAsia"/>
          <w:lang w:eastAsia="zh-CN"/>
        </w:rPr>
        <w:t xml:space="preserve">as a reference </w:t>
      </w:r>
      <w:r w:rsidRPr="004008A3">
        <w:rPr>
          <w:lang w:eastAsia="ja-JP"/>
        </w:rPr>
        <w:t xml:space="preserve">to the UE context in the SeNB that was established by </w:t>
      </w:r>
      <w:r>
        <w:rPr>
          <w:rFonts w:hint="eastAsia"/>
          <w:lang w:eastAsia="zh-CN"/>
        </w:rPr>
        <w:t xml:space="preserve">the </w:t>
      </w:r>
      <w:r w:rsidRPr="0053768B">
        <w:rPr>
          <w:rFonts w:hint="eastAsia"/>
          <w:lang w:eastAsia="ja-JP"/>
        </w:rPr>
        <w:t>s</w:t>
      </w:r>
      <w:r>
        <w:rPr>
          <w:rFonts w:hint="eastAsia"/>
          <w:lang w:eastAsia="zh-CN"/>
        </w:rPr>
        <w:t>ource M</w:t>
      </w:r>
      <w:r w:rsidRPr="004008A3">
        <w:rPr>
          <w:lang w:eastAsia="ja-JP"/>
        </w:rPr>
        <w:t>eNB</w:t>
      </w:r>
      <w:r>
        <w:rPr>
          <w:rFonts w:hint="eastAsia"/>
          <w:lang w:val="en-US" w:eastAsia="ja-JP"/>
        </w:rPr>
        <w:t>.</w:t>
      </w:r>
    </w:p>
    <w:p w14:paraId="6C5E9EF3" w14:textId="77777777" w:rsidR="008571C3" w:rsidRDefault="008571C3" w:rsidP="008571C3">
      <w:pPr>
        <w:pStyle w:val="B1"/>
        <w:rPr>
          <w:lang w:val="en-US" w:eastAsia="ja-JP"/>
        </w:rPr>
      </w:pPr>
      <w:r>
        <w:rPr>
          <w:rFonts w:hint="eastAsia"/>
          <w:lang w:val="en-US" w:eastAsia="ja-JP"/>
        </w:rPr>
        <w:t>3.</w:t>
      </w:r>
      <w:r>
        <w:rPr>
          <w:rFonts w:hint="eastAsia"/>
          <w:lang w:val="en-US" w:eastAsia="ja-JP"/>
        </w:rPr>
        <w:tab/>
        <w:t>The SeNB replies with SeNB Addition Request Acknowledge.</w:t>
      </w:r>
    </w:p>
    <w:p w14:paraId="0504B775" w14:textId="77777777" w:rsidR="008571C3" w:rsidRDefault="008571C3" w:rsidP="008571C3">
      <w:pPr>
        <w:pStyle w:val="B1"/>
        <w:rPr>
          <w:lang w:val="en-US" w:eastAsia="ja-JP"/>
        </w:rPr>
      </w:pPr>
      <w:r>
        <w:rPr>
          <w:rFonts w:hint="eastAsia"/>
          <w:lang w:val="en-US" w:eastAsia="ja-JP"/>
        </w:rPr>
        <w:t>4.</w:t>
      </w:r>
      <w:r>
        <w:rPr>
          <w:rFonts w:hint="eastAsia"/>
          <w:lang w:val="en-US" w:eastAsia="ja-JP"/>
        </w:rPr>
        <w:tab/>
      </w:r>
      <w:r w:rsidRPr="0053768B">
        <w:rPr>
          <w:lang w:eastAsia="ja-JP"/>
        </w:rPr>
        <w:t xml:space="preserve">The target MeNB includes </w:t>
      </w:r>
      <w:r w:rsidRPr="00E83EB4">
        <w:rPr>
          <w:rFonts w:hint="eastAsia"/>
          <w:lang w:eastAsia="ja-JP"/>
        </w:rPr>
        <w:t>withi</w:t>
      </w:r>
      <w:r w:rsidRPr="00E83EB4">
        <w:rPr>
          <w:lang w:eastAsia="ja-JP"/>
        </w:rPr>
        <w:t>n the Handover Request Acknowledge message</w:t>
      </w:r>
      <w:r w:rsidRPr="0053768B">
        <w:rPr>
          <w:lang w:eastAsia="ja-JP"/>
        </w:rPr>
        <w:t xml:space="preserve"> a transparent container to be sent to the UE as an RRC message to perform the handover which also includes the SCG configuration, and may also provide forwarding addresses to the source</w:t>
      </w:r>
      <w:r w:rsidRPr="0053768B">
        <w:rPr>
          <w:rFonts w:hint="eastAsia"/>
          <w:lang w:eastAsia="ja-JP"/>
        </w:rPr>
        <w:t xml:space="preserve"> M</w:t>
      </w:r>
      <w:r w:rsidRPr="0053768B">
        <w:rPr>
          <w:lang w:eastAsia="ja-JP"/>
        </w:rPr>
        <w:t>eNB</w:t>
      </w:r>
      <w:r w:rsidRPr="0053768B">
        <w:rPr>
          <w:rFonts w:hint="eastAsia"/>
          <w:lang w:val="en-US" w:eastAsia="ja-JP"/>
        </w:rPr>
        <w:t>.</w:t>
      </w:r>
      <w:r w:rsidRPr="0053768B">
        <w:rPr>
          <w:lang w:eastAsia="zh-CN"/>
        </w:rPr>
        <w:t xml:space="preserve"> </w:t>
      </w:r>
      <w:r w:rsidRPr="00E83EB4">
        <w:rPr>
          <w:lang w:eastAsia="zh-CN"/>
        </w:rPr>
        <w:t>T</w:t>
      </w:r>
      <w:r w:rsidRPr="00E83EB4">
        <w:rPr>
          <w:rFonts w:hint="eastAsia"/>
          <w:lang w:eastAsia="zh-CN"/>
        </w:rPr>
        <w:t xml:space="preserve">he </w:t>
      </w:r>
      <w:r w:rsidRPr="00E83EB4">
        <w:rPr>
          <w:lang w:eastAsia="zh-CN"/>
        </w:rPr>
        <w:t xml:space="preserve">target </w:t>
      </w:r>
      <w:r w:rsidRPr="00E83EB4">
        <w:rPr>
          <w:lang w:eastAsia="zh-CN"/>
        </w:rPr>
        <w:lastRenderedPageBreak/>
        <w:t>MeNB</w:t>
      </w:r>
      <w:r w:rsidRPr="00E83EB4">
        <w:rPr>
          <w:rFonts w:hint="eastAsia"/>
          <w:lang w:eastAsia="zh-CN"/>
        </w:rPr>
        <w:t xml:space="preserve"> indicate</w:t>
      </w:r>
      <w:r w:rsidRPr="00E83EB4">
        <w:rPr>
          <w:lang w:eastAsia="zh-CN"/>
        </w:rPr>
        <w:t>s</w:t>
      </w:r>
      <w:r w:rsidRPr="00E83EB4">
        <w:rPr>
          <w:rFonts w:hint="eastAsia"/>
          <w:lang w:eastAsia="zh-CN"/>
        </w:rPr>
        <w:t xml:space="preserve"> to the </w:t>
      </w:r>
      <w:r w:rsidRPr="00E83EB4">
        <w:rPr>
          <w:lang w:eastAsia="zh-CN"/>
        </w:rPr>
        <w:t>source MeNB</w:t>
      </w:r>
      <w:r w:rsidRPr="00E83EB4">
        <w:rPr>
          <w:rFonts w:hint="eastAsia"/>
          <w:lang w:eastAsia="zh-CN"/>
        </w:rPr>
        <w:t xml:space="preserve"> that the </w:t>
      </w:r>
      <w:r w:rsidRPr="00E83EB4">
        <w:rPr>
          <w:lang w:eastAsia="zh-CN"/>
        </w:rPr>
        <w:t xml:space="preserve">UE context in </w:t>
      </w:r>
      <w:r w:rsidRPr="00E83EB4">
        <w:rPr>
          <w:rFonts w:hint="eastAsia"/>
          <w:lang w:eastAsia="ja-JP"/>
        </w:rPr>
        <w:t>the</w:t>
      </w:r>
      <w:r w:rsidRPr="00E83EB4">
        <w:rPr>
          <w:lang w:eastAsia="zh-CN"/>
        </w:rPr>
        <w:t xml:space="preserve"> </w:t>
      </w:r>
      <w:r w:rsidRPr="00E83EB4">
        <w:rPr>
          <w:rFonts w:hint="eastAsia"/>
          <w:lang w:eastAsia="zh-CN"/>
        </w:rPr>
        <w:t xml:space="preserve">SeNB is kept if </w:t>
      </w:r>
      <w:r w:rsidRPr="00E83EB4">
        <w:rPr>
          <w:rFonts w:hint="eastAsia"/>
          <w:lang w:val="en-US" w:eastAsia="ja-JP"/>
        </w:rPr>
        <w:t>the target MeNB and the SeNB decided to keep the UE context in the SeNB in step 2 and step 3.</w:t>
      </w:r>
    </w:p>
    <w:p w14:paraId="20FEBBA1" w14:textId="77777777" w:rsidR="008571C3" w:rsidRDefault="008571C3" w:rsidP="008571C3">
      <w:pPr>
        <w:pStyle w:val="B1"/>
        <w:rPr>
          <w:lang w:val="en-US" w:eastAsia="ja-JP"/>
        </w:rPr>
      </w:pPr>
      <w:r>
        <w:rPr>
          <w:rFonts w:hint="eastAsia"/>
          <w:lang w:val="en-US" w:eastAsia="ja-JP"/>
        </w:rPr>
        <w:t>5.</w:t>
      </w:r>
      <w:r>
        <w:rPr>
          <w:rFonts w:hint="eastAsia"/>
          <w:lang w:val="en-US" w:eastAsia="ja-JP"/>
        </w:rPr>
        <w:tab/>
        <w:t>The source MeNB sends SeNB Release Request to the SeNB.</w:t>
      </w:r>
      <w:r w:rsidRPr="0053768B">
        <w:t xml:space="preserve"> </w:t>
      </w:r>
      <w:r w:rsidRPr="00E83EB4">
        <w:rPr>
          <w:lang w:val="en-US" w:eastAsia="ja-JP"/>
        </w:rPr>
        <w:t>The source MeNB indicate</w:t>
      </w:r>
      <w:r w:rsidRPr="00E83EB4">
        <w:rPr>
          <w:rFonts w:hint="eastAsia"/>
          <w:lang w:val="en-US" w:eastAsia="ja-JP"/>
        </w:rPr>
        <w:t>s</w:t>
      </w:r>
      <w:r w:rsidRPr="00E83EB4">
        <w:rPr>
          <w:lang w:val="en-US" w:eastAsia="ja-JP"/>
        </w:rPr>
        <w:t xml:space="preserve"> to the SeNB that the UE context in SeNB is kept. If the indication </w:t>
      </w:r>
      <w:r w:rsidRPr="00E83EB4">
        <w:rPr>
          <w:rFonts w:hint="eastAsia"/>
          <w:lang w:val="en-US" w:eastAsia="ja-JP"/>
        </w:rPr>
        <w:t xml:space="preserve">as the UE context kept in SeNB </w:t>
      </w:r>
      <w:r w:rsidRPr="00E83EB4">
        <w:rPr>
          <w:lang w:val="en-US" w:eastAsia="ja-JP"/>
        </w:rPr>
        <w:t xml:space="preserve">is included, the SeNB </w:t>
      </w:r>
      <w:r w:rsidRPr="00E83EB4">
        <w:rPr>
          <w:rFonts w:hint="eastAsia"/>
          <w:lang w:val="en-US" w:eastAsia="ja-JP"/>
        </w:rPr>
        <w:t>keeps</w:t>
      </w:r>
      <w:r w:rsidRPr="00E83EB4">
        <w:rPr>
          <w:lang w:val="en-US" w:eastAsia="ja-JP"/>
        </w:rPr>
        <w:t xml:space="preserve"> the UE context.</w:t>
      </w:r>
    </w:p>
    <w:p w14:paraId="6770C4D6" w14:textId="77777777" w:rsidR="008571C3" w:rsidRDefault="008571C3" w:rsidP="008571C3">
      <w:pPr>
        <w:pStyle w:val="B1"/>
        <w:rPr>
          <w:lang w:val="en-US" w:eastAsia="ja-JP"/>
        </w:rPr>
      </w:pPr>
      <w:r>
        <w:rPr>
          <w:rFonts w:hint="eastAsia"/>
          <w:lang w:val="en-US" w:eastAsia="ja-JP"/>
        </w:rPr>
        <w:t>6</w:t>
      </w:r>
      <w:r w:rsidRPr="000A5869">
        <w:rPr>
          <w:lang w:val="en-US" w:eastAsia="ja-JP"/>
        </w:rPr>
        <w:t>.</w:t>
      </w:r>
      <w:r w:rsidRPr="000A5869">
        <w:rPr>
          <w:lang w:val="en-US" w:eastAsia="ja-JP"/>
        </w:rPr>
        <w:tab/>
        <w:t xml:space="preserve">The </w:t>
      </w:r>
      <w:r w:rsidRPr="0053768B">
        <w:rPr>
          <w:lang w:val="en-US" w:eastAsia="ja-JP"/>
        </w:rPr>
        <w:t>source</w:t>
      </w:r>
      <w:r>
        <w:rPr>
          <w:rFonts w:hint="eastAsia"/>
          <w:lang w:val="en-US" w:eastAsia="ja-JP"/>
        </w:rPr>
        <w:t xml:space="preserve"> </w:t>
      </w:r>
      <w:r w:rsidRPr="000A5869">
        <w:rPr>
          <w:lang w:val="en-US" w:eastAsia="ja-JP"/>
        </w:rPr>
        <w:t>MeNB triggers the UE to apply the new configuration.</w:t>
      </w:r>
    </w:p>
    <w:p w14:paraId="6C3C2C2B" w14:textId="77777777" w:rsidR="008571C3" w:rsidRDefault="008571C3" w:rsidP="008571C3">
      <w:pPr>
        <w:pStyle w:val="B1"/>
        <w:rPr>
          <w:lang w:val="en-US" w:eastAsia="ja-JP"/>
        </w:rPr>
      </w:pPr>
      <w:r>
        <w:rPr>
          <w:rFonts w:hint="eastAsia"/>
          <w:lang w:val="en-US" w:eastAsia="ja-JP"/>
        </w:rPr>
        <w:t>7/8</w:t>
      </w:r>
      <w:r w:rsidRPr="006826B6">
        <w:rPr>
          <w:lang w:val="en-US" w:eastAsia="ja-JP"/>
        </w:rPr>
        <w:t>.</w:t>
      </w:r>
      <w:r w:rsidRPr="006826B6">
        <w:rPr>
          <w:lang w:val="en-US" w:eastAsia="ja-JP"/>
        </w:rPr>
        <w:tab/>
        <w:t xml:space="preserve">The UE synchronizes to the target </w:t>
      </w:r>
      <w:r>
        <w:rPr>
          <w:rFonts w:hint="eastAsia"/>
          <w:lang w:val="en-US" w:eastAsia="ja-JP"/>
        </w:rPr>
        <w:t>M</w:t>
      </w:r>
      <w:r>
        <w:rPr>
          <w:lang w:val="en-US" w:eastAsia="ja-JP"/>
        </w:rPr>
        <w:t>eNB</w:t>
      </w:r>
      <w:r w:rsidRPr="001673F0">
        <w:rPr>
          <w:lang w:eastAsia="ja-JP"/>
        </w:rPr>
        <w:t xml:space="preserve"> and repl</w:t>
      </w:r>
      <w:r w:rsidRPr="001673F0">
        <w:rPr>
          <w:rFonts w:hint="eastAsia"/>
          <w:lang w:eastAsia="ja-JP"/>
        </w:rPr>
        <w:t>ies</w:t>
      </w:r>
      <w:r w:rsidRPr="001673F0">
        <w:rPr>
          <w:lang w:eastAsia="ja-JP"/>
        </w:rPr>
        <w:t xml:space="preserve"> </w:t>
      </w:r>
      <w:r w:rsidRPr="001673F0">
        <w:rPr>
          <w:rFonts w:hint="eastAsia"/>
          <w:lang w:eastAsia="ja-JP"/>
        </w:rPr>
        <w:t>with</w:t>
      </w:r>
      <w:r w:rsidRPr="001673F0">
        <w:rPr>
          <w:lang w:eastAsia="ja-JP"/>
        </w:rPr>
        <w:t xml:space="preserve"> </w:t>
      </w:r>
      <w:r w:rsidRPr="001673F0">
        <w:rPr>
          <w:i/>
          <w:lang w:eastAsia="ja-JP"/>
        </w:rPr>
        <w:t>RRCConnectionReconfigurationComplete</w:t>
      </w:r>
      <w:r w:rsidRPr="001673F0">
        <w:rPr>
          <w:lang w:eastAsia="ja-JP"/>
        </w:rPr>
        <w:t xml:space="preserve"> message.</w:t>
      </w:r>
    </w:p>
    <w:p w14:paraId="5B775313" w14:textId="77777777" w:rsidR="008571C3" w:rsidRPr="00880F77" w:rsidRDefault="008571C3" w:rsidP="008571C3">
      <w:pPr>
        <w:pStyle w:val="B1"/>
        <w:rPr>
          <w:lang w:val="en-US" w:eastAsia="ja-JP"/>
        </w:rPr>
      </w:pPr>
      <w:r>
        <w:rPr>
          <w:rFonts w:hint="eastAsia"/>
          <w:lang w:val="en-US" w:eastAsia="ja-JP"/>
        </w:rPr>
        <w:t>9</w:t>
      </w:r>
      <w:r w:rsidRPr="006826B6">
        <w:rPr>
          <w:lang w:val="en-US" w:eastAsia="ja-JP"/>
        </w:rPr>
        <w:t>.</w:t>
      </w:r>
      <w:r w:rsidRPr="006826B6">
        <w:rPr>
          <w:lang w:val="en-US" w:eastAsia="ja-JP"/>
        </w:rPr>
        <w:tab/>
        <w:t xml:space="preserve">The UE synchronizes to the </w:t>
      </w:r>
      <w:r>
        <w:rPr>
          <w:rFonts w:hint="eastAsia"/>
          <w:lang w:val="en-US" w:eastAsia="ja-JP"/>
        </w:rPr>
        <w:t>S</w:t>
      </w:r>
      <w:r>
        <w:rPr>
          <w:lang w:val="en-US" w:eastAsia="ja-JP"/>
        </w:rPr>
        <w:t>eNB.</w:t>
      </w:r>
    </w:p>
    <w:p w14:paraId="0BBAD7A6" w14:textId="77777777" w:rsidR="008571C3" w:rsidRPr="00AA6C7F" w:rsidRDefault="008571C3" w:rsidP="008571C3">
      <w:pPr>
        <w:pStyle w:val="B1"/>
        <w:rPr>
          <w:lang w:val="en-US" w:eastAsia="zh-CN"/>
        </w:rPr>
      </w:pPr>
      <w:r>
        <w:rPr>
          <w:rFonts w:hint="eastAsia"/>
          <w:lang w:val="en-US" w:eastAsia="ja-JP"/>
        </w:rPr>
        <w:t>10</w:t>
      </w:r>
      <w:r w:rsidRPr="006826B6">
        <w:rPr>
          <w:lang w:val="en-US" w:eastAsia="ja-JP"/>
        </w:rPr>
        <w:t>.</w:t>
      </w:r>
      <w:r w:rsidRPr="006826B6">
        <w:rPr>
          <w:lang w:val="en-US" w:eastAsia="ja-JP"/>
        </w:rPr>
        <w:tab/>
      </w:r>
      <w:r>
        <w:rPr>
          <w:lang w:val="en-US" w:eastAsia="ja-JP"/>
        </w:rPr>
        <w:t xml:space="preserve">If the RRC connection reconfiguration procedure was successful, the </w:t>
      </w:r>
      <w:r>
        <w:rPr>
          <w:rFonts w:hint="eastAsia"/>
          <w:lang w:val="en-US" w:eastAsia="zh-CN"/>
        </w:rPr>
        <w:t xml:space="preserve">target </w:t>
      </w:r>
      <w:r>
        <w:rPr>
          <w:lang w:val="en-US" w:eastAsia="ja-JP"/>
        </w:rPr>
        <w:t>MeNB informs the SeNB.</w:t>
      </w:r>
    </w:p>
    <w:p w14:paraId="19EFA352" w14:textId="77777777" w:rsidR="008571C3" w:rsidRDefault="008571C3" w:rsidP="008571C3">
      <w:pPr>
        <w:pStyle w:val="B1"/>
        <w:rPr>
          <w:lang w:val="en-US" w:eastAsia="ja-JP"/>
        </w:rPr>
      </w:pPr>
      <w:r>
        <w:rPr>
          <w:rFonts w:hint="eastAsia"/>
          <w:lang w:val="en-US" w:eastAsia="ja-JP"/>
        </w:rPr>
        <w:t>11</w:t>
      </w:r>
      <w:r>
        <w:rPr>
          <w:lang w:val="en-US" w:eastAsia="ja-JP"/>
        </w:rPr>
        <w:t>/</w:t>
      </w:r>
      <w:r>
        <w:rPr>
          <w:rFonts w:hint="eastAsia"/>
          <w:lang w:val="en-US" w:eastAsia="ja-JP"/>
        </w:rPr>
        <w:t>12</w:t>
      </w:r>
      <w:r>
        <w:rPr>
          <w:lang w:val="en-US" w:eastAsia="ja-JP"/>
        </w:rPr>
        <w:t>.</w:t>
      </w:r>
      <w:r>
        <w:rPr>
          <w:lang w:val="en-US" w:eastAsia="ja-JP"/>
        </w:rPr>
        <w:tab/>
        <w:t>Data forwarding from the</w:t>
      </w:r>
      <w:r>
        <w:rPr>
          <w:rFonts w:hint="eastAsia"/>
          <w:lang w:val="en-US" w:eastAsia="ja-JP"/>
        </w:rPr>
        <w:t xml:space="preserve"> source</w:t>
      </w:r>
      <w:r>
        <w:rPr>
          <w:lang w:val="en-US" w:eastAsia="ja-JP"/>
        </w:rPr>
        <w:t xml:space="preserve"> </w:t>
      </w:r>
      <w:r>
        <w:rPr>
          <w:rFonts w:hint="eastAsia"/>
          <w:lang w:val="en-US" w:eastAsia="ja-JP"/>
        </w:rPr>
        <w:t>M</w:t>
      </w:r>
      <w:r>
        <w:rPr>
          <w:lang w:val="en-US" w:eastAsia="ja-JP"/>
        </w:rPr>
        <w:t>eNB takes place.</w:t>
      </w:r>
      <w:r w:rsidRPr="00233CB9">
        <w:t xml:space="preserve"> </w:t>
      </w:r>
      <w:r w:rsidRPr="00233CB9">
        <w:rPr>
          <w:lang w:val="en-US" w:eastAsia="ja-JP"/>
        </w:rPr>
        <w:t xml:space="preserve">Data forwarding </w:t>
      </w:r>
      <w:r>
        <w:rPr>
          <w:lang w:val="en-US" w:eastAsia="ja-JP"/>
        </w:rPr>
        <w:t>may</w:t>
      </w:r>
      <w:r w:rsidRPr="00233CB9">
        <w:rPr>
          <w:lang w:val="en-US" w:eastAsia="ja-JP"/>
        </w:rPr>
        <w:t xml:space="preserve"> be omitted for SCG bearers. Direct data forwarding from the source MeNB to the SeNB is not possible for split bearers.</w:t>
      </w:r>
    </w:p>
    <w:p w14:paraId="1959341E" w14:textId="77777777" w:rsidR="008571C3" w:rsidRPr="00A717E9" w:rsidRDefault="008571C3" w:rsidP="008571C3">
      <w:pPr>
        <w:pStyle w:val="NO"/>
      </w:pPr>
      <w:r>
        <w:t>NOTE</w:t>
      </w:r>
      <w:r w:rsidRPr="00A717E9">
        <w:t>:</w:t>
      </w:r>
      <w:r>
        <w:tab/>
      </w:r>
      <w:r w:rsidRPr="00233CB9">
        <w:t>Direct data forwarding may occur only for bearer type change.</w:t>
      </w:r>
    </w:p>
    <w:p w14:paraId="0E3126A3" w14:textId="77777777" w:rsidR="008571C3" w:rsidRDefault="008571C3" w:rsidP="008571C3">
      <w:pPr>
        <w:pStyle w:val="B1"/>
        <w:rPr>
          <w:lang w:val="en-US" w:eastAsia="ja-JP"/>
        </w:rPr>
      </w:pPr>
      <w:r>
        <w:rPr>
          <w:rFonts w:hint="eastAsia"/>
          <w:lang w:val="en-US" w:eastAsia="ja-JP"/>
        </w:rPr>
        <w:t>13</w:t>
      </w:r>
      <w:r>
        <w:rPr>
          <w:lang w:val="en-US" w:eastAsia="ja-JP"/>
        </w:rPr>
        <w:t>-1</w:t>
      </w:r>
      <w:r>
        <w:rPr>
          <w:rFonts w:hint="eastAsia"/>
          <w:lang w:val="en-US" w:eastAsia="ja-JP"/>
        </w:rPr>
        <w:t>6</w:t>
      </w:r>
      <w:r>
        <w:rPr>
          <w:lang w:val="en-US" w:eastAsia="ja-JP"/>
        </w:rPr>
        <w:t>.</w:t>
      </w:r>
      <w:r>
        <w:rPr>
          <w:lang w:val="en-US" w:eastAsia="ja-JP"/>
        </w:rPr>
        <w:tab/>
        <w:t xml:space="preserve">The target </w:t>
      </w:r>
      <w:r>
        <w:rPr>
          <w:rFonts w:hint="eastAsia"/>
          <w:lang w:val="en-US" w:eastAsia="ja-JP"/>
        </w:rPr>
        <w:t>M</w:t>
      </w:r>
      <w:r>
        <w:rPr>
          <w:lang w:val="en-US" w:eastAsia="ja-JP"/>
        </w:rPr>
        <w:t>eNB initiates the S1 Path Switch procedure.</w:t>
      </w:r>
    </w:p>
    <w:p w14:paraId="0EA3F67D" w14:textId="77777777" w:rsidR="008571C3" w:rsidRDefault="008571C3" w:rsidP="008571C3">
      <w:pPr>
        <w:pStyle w:val="NO"/>
        <w:rPr>
          <w:lang w:eastAsia="ja-JP"/>
        </w:rPr>
      </w:pPr>
      <w:r w:rsidRPr="00A717E9">
        <w:t>N</w:t>
      </w:r>
      <w:r>
        <w:t>OTE</w:t>
      </w:r>
      <w:r w:rsidRPr="00A717E9">
        <w:t>:</w:t>
      </w:r>
      <w:r>
        <w:tab/>
      </w:r>
      <w:r w:rsidRPr="000B7BEE">
        <w:rPr>
          <w:lang w:eastAsia="ja-JP"/>
        </w:rPr>
        <w:t>If new UL TEIDs of the S-GW are included, the target MeNB performs MeNB initiated SeNB Modification procedure to provide them to the SeNB.</w:t>
      </w:r>
    </w:p>
    <w:p w14:paraId="4333C086" w14:textId="77777777" w:rsidR="008571C3" w:rsidRDefault="008571C3" w:rsidP="008571C3">
      <w:pPr>
        <w:pStyle w:val="B1"/>
        <w:rPr>
          <w:lang w:val="en-US" w:eastAsia="ja-JP"/>
        </w:rPr>
      </w:pPr>
      <w:r>
        <w:rPr>
          <w:lang w:val="en-US" w:eastAsia="ja-JP"/>
        </w:rPr>
        <w:t>1</w:t>
      </w:r>
      <w:r>
        <w:rPr>
          <w:rFonts w:hint="eastAsia"/>
          <w:lang w:val="en-US" w:eastAsia="ja-JP"/>
        </w:rPr>
        <w:t>7</w:t>
      </w:r>
      <w:r>
        <w:rPr>
          <w:lang w:val="en-US" w:eastAsia="ja-JP"/>
        </w:rPr>
        <w:t>.</w:t>
      </w:r>
      <w:r>
        <w:rPr>
          <w:lang w:val="en-US" w:eastAsia="ja-JP"/>
        </w:rPr>
        <w:tab/>
        <w:t xml:space="preserve">The target </w:t>
      </w:r>
      <w:r>
        <w:rPr>
          <w:rFonts w:hint="eastAsia"/>
          <w:lang w:val="en-US" w:eastAsia="ja-JP"/>
        </w:rPr>
        <w:t>M</w:t>
      </w:r>
      <w:r>
        <w:rPr>
          <w:lang w:val="en-US" w:eastAsia="ja-JP"/>
        </w:rPr>
        <w:t xml:space="preserve">eNB initiates the UE Context Release procedure towards the source </w:t>
      </w:r>
      <w:r>
        <w:rPr>
          <w:rFonts w:hint="eastAsia"/>
          <w:lang w:val="en-US" w:eastAsia="ja-JP"/>
        </w:rPr>
        <w:t>M</w:t>
      </w:r>
      <w:r>
        <w:rPr>
          <w:lang w:val="en-US" w:eastAsia="ja-JP"/>
        </w:rPr>
        <w:t>eNB.</w:t>
      </w:r>
    </w:p>
    <w:p w14:paraId="336DA77A" w14:textId="77777777" w:rsidR="008571C3" w:rsidRDefault="008571C3" w:rsidP="008571C3">
      <w:pPr>
        <w:pStyle w:val="B1"/>
        <w:rPr>
          <w:lang w:val="en-US" w:eastAsia="ja-JP"/>
        </w:rPr>
      </w:pPr>
      <w:r w:rsidRPr="000A0233">
        <w:rPr>
          <w:lang w:val="en-US" w:eastAsia="ja-JP"/>
        </w:rPr>
        <w:t>1</w:t>
      </w:r>
      <w:r>
        <w:rPr>
          <w:rFonts w:hint="eastAsia"/>
          <w:lang w:val="en-US" w:eastAsia="ja-JP"/>
        </w:rPr>
        <w:t>8</w:t>
      </w:r>
      <w:r w:rsidRPr="000A0233">
        <w:rPr>
          <w:lang w:val="en-US" w:eastAsia="ja-JP"/>
        </w:rPr>
        <w:t>.</w:t>
      </w:r>
      <w:r w:rsidRPr="000A0233">
        <w:rPr>
          <w:lang w:val="en-US" w:eastAsia="ja-JP"/>
        </w:rPr>
        <w:tab/>
      </w:r>
      <w:r w:rsidRPr="000A0233">
        <w:rPr>
          <w:rFonts w:hint="eastAsia"/>
          <w:lang w:val="en-US" w:eastAsia="zh-CN"/>
        </w:rPr>
        <w:t xml:space="preserve">Upon reception of the </w:t>
      </w:r>
      <w:r>
        <w:rPr>
          <w:lang w:val="en-US" w:eastAsia="ja-JP"/>
        </w:rPr>
        <w:t>UE Context Release</w:t>
      </w:r>
      <w:r w:rsidRPr="000A0233">
        <w:rPr>
          <w:rFonts w:hint="eastAsia"/>
          <w:lang w:val="en-US" w:eastAsia="zh-CN"/>
        </w:rPr>
        <w:t xml:space="preserve"> message, the SeNB can release C-plane related </w:t>
      </w:r>
      <w:r w:rsidRPr="00144A22">
        <w:rPr>
          <w:lang w:val="en-US" w:eastAsia="zh-CN"/>
        </w:rPr>
        <w:t>resource</w:t>
      </w:r>
      <w:r w:rsidRPr="00144A22">
        <w:rPr>
          <w:rFonts w:hint="eastAsia"/>
          <w:lang w:val="en-US" w:eastAsia="zh-CN"/>
        </w:rPr>
        <w:t xml:space="preserve"> </w:t>
      </w:r>
      <w:r w:rsidRPr="00144A22">
        <w:rPr>
          <w:lang w:val="en-US" w:eastAsia="zh-CN"/>
        </w:rPr>
        <w:t>associated</w:t>
      </w:r>
      <w:r w:rsidRPr="00144A22">
        <w:rPr>
          <w:rFonts w:hint="eastAsia"/>
          <w:lang w:val="en-US" w:eastAsia="zh-CN"/>
        </w:rPr>
        <w:t xml:space="preserve"> to the UE context</w:t>
      </w:r>
      <w:r>
        <w:rPr>
          <w:rFonts w:hint="eastAsia"/>
          <w:lang w:val="en-US" w:eastAsia="ja-JP"/>
        </w:rPr>
        <w:t xml:space="preserve"> </w:t>
      </w:r>
      <w:r w:rsidRPr="0053768B">
        <w:rPr>
          <w:rFonts w:hint="eastAsia"/>
          <w:lang w:val="en-US" w:eastAsia="ja-JP"/>
        </w:rPr>
        <w:t>towards the source MeNB</w:t>
      </w:r>
      <w:r w:rsidRPr="00144A22">
        <w:rPr>
          <w:rFonts w:hint="eastAsia"/>
          <w:lang w:val="en-US" w:eastAsia="zh-CN"/>
        </w:rPr>
        <w:t>. Any ongoing data forwarding may continue</w:t>
      </w:r>
      <w:r w:rsidRPr="00144A22">
        <w:rPr>
          <w:rFonts w:hint="eastAsia"/>
          <w:lang w:val="en-US" w:eastAsia="ja-JP"/>
        </w:rPr>
        <w:t>.</w:t>
      </w:r>
      <w:r>
        <w:rPr>
          <w:rFonts w:hint="eastAsia"/>
          <w:lang w:val="en-US" w:eastAsia="ja-JP"/>
        </w:rPr>
        <w:t xml:space="preserve"> </w:t>
      </w:r>
      <w:r w:rsidRPr="0053768B">
        <w:rPr>
          <w:rFonts w:hint="eastAsia"/>
          <w:lang w:val="en-US" w:eastAsia="ja-JP"/>
        </w:rPr>
        <w:t>The SeNB shall not release the UE context associated with the target MeNB</w:t>
      </w:r>
      <w:r>
        <w:rPr>
          <w:rFonts w:hint="eastAsia"/>
          <w:lang w:val="en-US" w:eastAsia="ja-JP"/>
        </w:rPr>
        <w:t xml:space="preserve"> </w:t>
      </w:r>
      <w:r w:rsidRPr="00E83EB4">
        <w:rPr>
          <w:rFonts w:hint="eastAsia"/>
          <w:lang w:val="en-US" w:eastAsia="ja-JP"/>
        </w:rPr>
        <w:t>if the indication was included in the SeNB Release Request in step 5</w:t>
      </w:r>
      <w:r w:rsidRPr="0053768B">
        <w:rPr>
          <w:rFonts w:hint="eastAsia"/>
          <w:lang w:val="en-US" w:eastAsia="ja-JP"/>
        </w:rPr>
        <w:t>.</w:t>
      </w:r>
    </w:p>
    <w:p w14:paraId="7F66A468" w14:textId="6516E9BB" w:rsidR="00AB487B" w:rsidRDefault="00AB487B" w:rsidP="00AB487B">
      <w:pPr>
        <w:pStyle w:val="Reference"/>
        <w:numPr>
          <w:ilvl w:val="0"/>
          <w:numId w:val="0"/>
        </w:numPr>
      </w:pPr>
    </w:p>
    <w:p w14:paraId="3B118E24" w14:textId="77777777" w:rsidR="00AB487B" w:rsidRPr="0042167E" w:rsidRDefault="00AB487B" w:rsidP="00AB487B">
      <w:pPr>
        <w:pStyle w:val="Reference"/>
        <w:numPr>
          <w:ilvl w:val="0"/>
          <w:numId w:val="0"/>
        </w:numPr>
      </w:pPr>
    </w:p>
    <w:sectPr w:rsidR="00AB487B" w:rsidRPr="0042167E">
      <w:headerReference w:type="even" r:id="rId20"/>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BC6A46" w15:done="0"/>
  <w15:commentEx w15:paraId="7AD94377" w15:done="0"/>
  <w15:commentEx w15:paraId="176D93F9" w15:done="0"/>
  <w15:commentEx w15:paraId="7B6DCB95" w15:done="0"/>
  <w15:commentEx w15:paraId="702A3DAE" w15:done="0"/>
  <w15:commentEx w15:paraId="5405015F" w15:done="0"/>
  <w15:commentEx w15:paraId="0ACCA98A" w15:done="0"/>
  <w15:commentEx w15:paraId="7234412A" w15:done="0"/>
  <w15:commentEx w15:paraId="19A3B6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85FE5E" w14:textId="77777777" w:rsidR="006B62D6" w:rsidRDefault="006B62D6">
      <w:r>
        <w:separator/>
      </w:r>
    </w:p>
  </w:endnote>
  <w:endnote w:type="continuationSeparator" w:id="0">
    <w:p w14:paraId="6B475291" w14:textId="77777777" w:rsidR="006B62D6" w:rsidRDefault="006B62D6">
      <w:r>
        <w:continuationSeparator/>
      </w:r>
    </w:p>
  </w:endnote>
  <w:endnote w:type="continuationNotice" w:id="1">
    <w:p w14:paraId="2AA1AF26" w14:textId="77777777" w:rsidR="006B62D6" w:rsidRDefault="006B62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7C93F9" w14:textId="22616B9F" w:rsidR="00E533F3" w:rsidRDefault="00E533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A7D2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7D2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AC6DDE" w14:textId="77777777" w:rsidR="006B62D6" w:rsidRDefault="006B62D6">
      <w:r>
        <w:separator/>
      </w:r>
    </w:p>
  </w:footnote>
  <w:footnote w:type="continuationSeparator" w:id="0">
    <w:p w14:paraId="29A0539C" w14:textId="77777777" w:rsidR="006B62D6" w:rsidRDefault="006B62D6">
      <w:r>
        <w:continuationSeparator/>
      </w:r>
    </w:p>
  </w:footnote>
  <w:footnote w:type="continuationNotice" w:id="1">
    <w:p w14:paraId="4F7582A0" w14:textId="77777777" w:rsidR="006B62D6" w:rsidRDefault="006B62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2F62A" w14:textId="77777777" w:rsidR="00E533F3" w:rsidRDefault="00E533F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1BFE5E" w14:textId="77777777" w:rsidR="00E533F3" w:rsidRDefault="00E533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C7E651C"/>
    <w:multiLevelType w:val="hybridMultilevel"/>
    <w:tmpl w:val="D8026462"/>
    <w:lvl w:ilvl="0" w:tplc="E2209E7E">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3E6C6D33"/>
    <w:multiLevelType w:val="hybridMultilevel"/>
    <w:tmpl w:val="C17C60C0"/>
    <w:lvl w:ilvl="0" w:tplc="38B87478">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4">
    <w:nsid w:val="491E49F3"/>
    <w:multiLevelType w:val="hybridMultilevel"/>
    <w:tmpl w:val="AD2AA79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41663A9"/>
    <w:multiLevelType w:val="hybridMultilevel"/>
    <w:tmpl w:val="1B32C8D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8"/>
  </w:num>
  <w:num w:numId="4">
    <w:abstractNumId w:val="9"/>
  </w:num>
  <w:num w:numId="5">
    <w:abstractNumId w:val="6"/>
  </w:num>
  <w:num w:numId="6">
    <w:abstractNumId w:val="12"/>
  </w:num>
  <w:num w:numId="7">
    <w:abstractNumId w:val="17"/>
  </w:num>
  <w:num w:numId="8">
    <w:abstractNumId w:val="7"/>
  </w:num>
  <w:num w:numId="9">
    <w:abstractNumId w:val="1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1"/>
  </w:num>
  <w:num w:numId="14">
    <w:abstractNumId w:val="0"/>
  </w:num>
  <w:num w:numId="15">
    <w:abstractNumId w:val="16"/>
    <w:lvlOverride w:ilvl="0">
      <w:startOverride w:val="1"/>
    </w:lvlOverride>
  </w:num>
  <w:num w:numId="16">
    <w:abstractNumId w:val="8"/>
    <w:lvlOverride w:ilvl="0">
      <w:startOverride w:val="3"/>
    </w:lvlOverride>
  </w:num>
  <w:num w:numId="17">
    <w:abstractNumId w:val="8"/>
    <w:lvlOverride w:ilvl="0">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num>
  <w:num w:numId="20">
    <w:abstractNumId w:val="16"/>
    <w:lvlOverride w:ilvl="0">
      <w:startOverride w:val="1"/>
    </w:lvlOverride>
  </w:num>
  <w:num w:numId="21">
    <w:abstractNumId w:val="13"/>
  </w:num>
  <w:num w:numId="22">
    <w:abstractNumId w:val="4"/>
    <w:lvlOverride w:ilvl="0">
      <w:startOverride w:val="1"/>
    </w:lvlOverride>
    <w:lvlOverride w:ilvl="1"/>
    <w:lvlOverride w:ilvl="2"/>
    <w:lvlOverride w:ilvl="3"/>
    <w:lvlOverride w:ilvl="4"/>
    <w:lvlOverride w:ilvl="5"/>
    <w:lvlOverride w:ilvl="6"/>
    <w:lvlOverride w:ilvl="7"/>
    <w:lvlOverride w:ilvl="8"/>
  </w:num>
  <w:num w:numId="23">
    <w:abstractNumId w:val="19"/>
  </w:num>
  <w:num w:numId="24">
    <w:abstractNumId w:val="4"/>
  </w:num>
  <w:num w:numId="25">
    <w:abstractNumId w:val="14"/>
  </w:num>
  <w:num w:numId="26">
    <w:abstractNumId w:val="10"/>
  </w:num>
  <w:num w:numId="27">
    <w:abstractNumId w:val="11"/>
  </w:num>
  <w:num w:numId="28">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umer Teyeb">
    <w15:presenceInfo w15:providerId="AD" w15:userId="S-1-5-21-1538607324-3213881460-940295383-4245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59CB"/>
    <w:rsid w:val="0000613D"/>
    <w:rsid w:val="00006446"/>
    <w:rsid w:val="00006896"/>
    <w:rsid w:val="00007CDC"/>
    <w:rsid w:val="00007EC5"/>
    <w:rsid w:val="00011B28"/>
    <w:rsid w:val="00012248"/>
    <w:rsid w:val="00013E1A"/>
    <w:rsid w:val="00015D15"/>
    <w:rsid w:val="000246F0"/>
    <w:rsid w:val="0002564D"/>
    <w:rsid w:val="00025ECA"/>
    <w:rsid w:val="00026D5D"/>
    <w:rsid w:val="00027939"/>
    <w:rsid w:val="00027BFB"/>
    <w:rsid w:val="00031940"/>
    <w:rsid w:val="000325B8"/>
    <w:rsid w:val="000336B7"/>
    <w:rsid w:val="00034828"/>
    <w:rsid w:val="00034C15"/>
    <w:rsid w:val="00035FA9"/>
    <w:rsid w:val="00036BA1"/>
    <w:rsid w:val="000422E2"/>
    <w:rsid w:val="00042F22"/>
    <w:rsid w:val="000444EF"/>
    <w:rsid w:val="0004531B"/>
    <w:rsid w:val="00052A07"/>
    <w:rsid w:val="000534E3"/>
    <w:rsid w:val="0005606A"/>
    <w:rsid w:val="00056FD0"/>
    <w:rsid w:val="00057117"/>
    <w:rsid w:val="0006144B"/>
    <w:rsid w:val="000616E7"/>
    <w:rsid w:val="0006487E"/>
    <w:rsid w:val="00065E1A"/>
    <w:rsid w:val="00066919"/>
    <w:rsid w:val="00070C5E"/>
    <w:rsid w:val="00071F9C"/>
    <w:rsid w:val="00073E88"/>
    <w:rsid w:val="00077E5F"/>
    <w:rsid w:val="0008036A"/>
    <w:rsid w:val="00081AE6"/>
    <w:rsid w:val="00082ECE"/>
    <w:rsid w:val="000855EB"/>
    <w:rsid w:val="00085B52"/>
    <w:rsid w:val="000866F2"/>
    <w:rsid w:val="0009009F"/>
    <w:rsid w:val="00091023"/>
    <w:rsid w:val="00091557"/>
    <w:rsid w:val="000924C1"/>
    <w:rsid w:val="000924F0"/>
    <w:rsid w:val="00092F34"/>
    <w:rsid w:val="00093474"/>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2A5"/>
    <w:rsid w:val="000D0D07"/>
    <w:rsid w:val="000D1DEF"/>
    <w:rsid w:val="000D43CC"/>
    <w:rsid w:val="000D4797"/>
    <w:rsid w:val="000D4E66"/>
    <w:rsid w:val="000E0527"/>
    <w:rsid w:val="000E1E92"/>
    <w:rsid w:val="000E5B9B"/>
    <w:rsid w:val="000F06D6"/>
    <w:rsid w:val="000F0C92"/>
    <w:rsid w:val="000F0EB1"/>
    <w:rsid w:val="000F1106"/>
    <w:rsid w:val="000F2C12"/>
    <w:rsid w:val="000F2F44"/>
    <w:rsid w:val="000F3BE9"/>
    <w:rsid w:val="000F3F6C"/>
    <w:rsid w:val="000F5D53"/>
    <w:rsid w:val="000F6DF3"/>
    <w:rsid w:val="001002F7"/>
    <w:rsid w:val="001005FF"/>
    <w:rsid w:val="0010312D"/>
    <w:rsid w:val="00106103"/>
    <w:rsid w:val="001062FB"/>
    <w:rsid w:val="001063E6"/>
    <w:rsid w:val="00111C3F"/>
    <w:rsid w:val="00113CF4"/>
    <w:rsid w:val="001153EA"/>
    <w:rsid w:val="00115643"/>
    <w:rsid w:val="00116765"/>
    <w:rsid w:val="001219F5"/>
    <w:rsid w:val="00121A20"/>
    <w:rsid w:val="00122F2E"/>
    <w:rsid w:val="0012377F"/>
    <w:rsid w:val="00124314"/>
    <w:rsid w:val="001245A9"/>
    <w:rsid w:val="00126B4A"/>
    <w:rsid w:val="001324A5"/>
    <w:rsid w:val="00132FD0"/>
    <w:rsid w:val="001341E8"/>
    <w:rsid w:val="001344C0"/>
    <w:rsid w:val="001346FA"/>
    <w:rsid w:val="00135252"/>
    <w:rsid w:val="00135436"/>
    <w:rsid w:val="00137AB5"/>
    <w:rsid w:val="00137F0B"/>
    <w:rsid w:val="00150D36"/>
    <w:rsid w:val="00151880"/>
    <w:rsid w:val="00151E23"/>
    <w:rsid w:val="001526E0"/>
    <w:rsid w:val="0015361F"/>
    <w:rsid w:val="00154970"/>
    <w:rsid w:val="001551B5"/>
    <w:rsid w:val="00155C3A"/>
    <w:rsid w:val="001643A8"/>
    <w:rsid w:val="001659C1"/>
    <w:rsid w:val="00167727"/>
    <w:rsid w:val="00167798"/>
    <w:rsid w:val="001710D6"/>
    <w:rsid w:val="00173A8E"/>
    <w:rsid w:val="00176106"/>
    <w:rsid w:val="00177795"/>
    <w:rsid w:val="0018143F"/>
    <w:rsid w:val="00183F84"/>
    <w:rsid w:val="0018588A"/>
    <w:rsid w:val="001901FE"/>
    <w:rsid w:val="00190AC1"/>
    <w:rsid w:val="00192432"/>
    <w:rsid w:val="0019341A"/>
    <w:rsid w:val="00193920"/>
    <w:rsid w:val="00197DF9"/>
    <w:rsid w:val="001A1987"/>
    <w:rsid w:val="001A2564"/>
    <w:rsid w:val="001A4F34"/>
    <w:rsid w:val="001A6173"/>
    <w:rsid w:val="001A6CBA"/>
    <w:rsid w:val="001B0D97"/>
    <w:rsid w:val="001B5A5D"/>
    <w:rsid w:val="001C0EBA"/>
    <w:rsid w:val="001C132C"/>
    <w:rsid w:val="001C18A6"/>
    <w:rsid w:val="001C1CE5"/>
    <w:rsid w:val="001C3D2A"/>
    <w:rsid w:val="001C6495"/>
    <w:rsid w:val="001D51BA"/>
    <w:rsid w:val="001D6342"/>
    <w:rsid w:val="001D6D53"/>
    <w:rsid w:val="001E1371"/>
    <w:rsid w:val="001E58E2"/>
    <w:rsid w:val="001E7037"/>
    <w:rsid w:val="001E7AED"/>
    <w:rsid w:val="001F07A9"/>
    <w:rsid w:val="001F3916"/>
    <w:rsid w:val="001F54C5"/>
    <w:rsid w:val="001F662C"/>
    <w:rsid w:val="001F7074"/>
    <w:rsid w:val="00200490"/>
    <w:rsid w:val="00201F3A"/>
    <w:rsid w:val="00203F96"/>
    <w:rsid w:val="00204CD9"/>
    <w:rsid w:val="002069B2"/>
    <w:rsid w:val="00206CB8"/>
    <w:rsid w:val="00207FA3"/>
    <w:rsid w:val="00214DA8"/>
    <w:rsid w:val="00215423"/>
    <w:rsid w:val="002158FA"/>
    <w:rsid w:val="00220600"/>
    <w:rsid w:val="002219D9"/>
    <w:rsid w:val="002224DB"/>
    <w:rsid w:val="0022267D"/>
    <w:rsid w:val="00223FCB"/>
    <w:rsid w:val="002252C3"/>
    <w:rsid w:val="00225648"/>
    <w:rsid w:val="00225C54"/>
    <w:rsid w:val="00230765"/>
    <w:rsid w:val="0023189D"/>
    <w:rsid w:val="002319E4"/>
    <w:rsid w:val="00231E13"/>
    <w:rsid w:val="0023495D"/>
    <w:rsid w:val="00235632"/>
    <w:rsid w:val="00235872"/>
    <w:rsid w:val="00241559"/>
    <w:rsid w:val="00242D23"/>
    <w:rsid w:val="00243155"/>
    <w:rsid w:val="002435B3"/>
    <w:rsid w:val="002458EB"/>
    <w:rsid w:val="002469B7"/>
    <w:rsid w:val="002476EC"/>
    <w:rsid w:val="00247D8D"/>
    <w:rsid w:val="002500C8"/>
    <w:rsid w:val="00257124"/>
    <w:rsid w:val="00257543"/>
    <w:rsid w:val="002617E7"/>
    <w:rsid w:val="00261FC8"/>
    <w:rsid w:val="00264228"/>
    <w:rsid w:val="00264334"/>
    <w:rsid w:val="0026473E"/>
    <w:rsid w:val="00265B6A"/>
    <w:rsid w:val="00266214"/>
    <w:rsid w:val="00267C83"/>
    <w:rsid w:val="0027144F"/>
    <w:rsid w:val="00271F3A"/>
    <w:rsid w:val="00273278"/>
    <w:rsid w:val="002737F4"/>
    <w:rsid w:val="002805F5"/>
    <w:rsid w:val="00280751"/>
    <w:rsid w:val="0028102A"/>
    <w:rsid w:val="002825B5"/>
    <w:rsid w:val="0028280A"/>
    <w:rsid w:val="00286ACD"/>
    <w:rsid w:val="00287838"/>
    <w:rsid w:val="002907B5"/>
    <w:rsid w:val="00292EB7"/>
    <w:rsid w:val="00296227"/>
    <w:rsid w:val="00296F44"/>
    <w:rsid w:val="00297235"/>
    <w:rsid w:val="0029777D"/>
    <w:rsid w:val="002A055E"/>
    <w:rsid w:val="002A1D4E"/>
    <w:rsid w:val="002A2869"/>
    <w:rsid w:val="002A5B83"/>
    <w:rsid w:val="002B24D6"/>
    <w:rsid w:val="002C18BB"/>
    <w:rsid w:val="002C41E6"/>
    <w:rsid w:val="002C535B"/>
    <w:rsid w:val="002D071A"/>
    <w:rsid w:val="002D1D2C"/>
    <w:rsid w:val="002D2CAF"/>
    <w:rsid w:val="002D34B2"/>
    <w:rsid w:val="002D7637"/>
    <w:rsid w:val="002E0010"/>
    <w:rsid w:val="002E0159"/>
    <w:rsid w:val="002E17F2"/>
    <w:rsid w:val="002E44D0"/>
    <w:rsid w:val="002E7CAE"/>
    <w:rsid w:val="002F2771"/>
    <w:rsid w:val="002F37A9"/>
    <w:rsid w:val="002F77DA"/>
    <w:rsid w:val="002F7AAA"/>
    <w:rsid w:val="0030105C"/>
    <w:rsid w:val="00301CE6"/>
    <w:rsid w:val="00301E48"/>
    <w:rsid w:val="0030256B"/>
    <w:rsid w:val="0030403E"/>
    <w:rsid w:val="0030501F"/>
    <w:rsid w:val="00307BA1"/>
    <w:rsid w:val="00310589"/>
    <w:rsid w:val="00311702"/>
    <w:rsid w:val="00311E82"/>
    <w:rsid w:val="00313FD6"/>
    <w:rsid w:val="003143BD"/>
    <w:rsid w:val="00315635"/>
    <w:rsid w:val="003178DB"/>
    <w:rsid w:val="003203ED"/>
    <w:rsid w:val="00321A15"/>
    <w:rsid w:val="00322AB0"/>
    <w:rsid w:val="00322C9F"/>
    <w:rsid w:val="00324561"/>
    <w:rsid w:val="00324644"/>
    <w:rsid w:val="00324D23"/>
    <w:rsid w:val="00331751"/>
    <w:rsid w:val="00334579"/>
    <w:rsid w:val="00335706"/>
    <w:rsid w:val="00335858"/>
    <w:rsid w:val="00335D45"/>
    <w:rsid w:val="00336BDA"/>
    <w:rsid w:val="003410E4"/>
    <w:rsid w:val="00342BD7"/>
    <w:rsid w:val="00343A07"/>
    <w:rsid w:val="00346333"/>
    <w:rsid w:val="00346DB5"/>
    <w:rsid w:val="003477B1"/>
    <w:rsid w:val="0035482C"/>
    <w:rsid w:val="00357143"/>
    <w:rsid w:val="00357380"/>
    <w:rsid w:val="00357AB8"/>
    <w:rsid w:val="003602D9"/>
    <w:rsid w:val="003604CE"/>
    <w:rsid w:val="00360FAB"/>
    <w:rsid w:val="00362BB9"/>
    <w:rsid w:val="00370E47"/>
    <w:rsid w:val="00371AAC"/>
    <w:rsid w:val="003742AC"/>
    <w:rsid w:val="00377CE1"/>
    <w:rsid w:val="003814D3"/>
    <w:rsid w:val="00385BF0"/>
    <w:rsid w:val="003910AA"/>
    <w:rsid w:val="003939FF"/>
    <w:rsid w:val="00393EA1"/>
    <w:rsid w:val="003A076E"/>
    <w:rsid w:val="003A154F"/>
    <w:rsid w:val="003A1AB8"/>
    <w:rsid w:val="003A2223"/>
    <w:rsid w:val="003A2A0F"/>
    <w:rsid w:val="003A45A1"/>
    <w:rsid w:val="003A4C20"/>
    <w:rsid w:val="003A5B0A"/>
    <w:rsid w:val="003A6BAC"/>
    <w:rsid w:val="003A7EF3"/>
    <w:rsid w:val="003B159C"/>
    <w:rsid w:val="003B369F"/>
    <w:rsid w:val="003B36A3"/>
    <w:rsid w:val="003B3C3F"/>
    <w:rsid w:val="003B4A97"/>
    <w:rsid w:val="003B7177"/>
    <w:rsid w:val="003B7333"/>
    <w:rsid w:val="003B7FE5"/>
    <w:rsid w:val="003C11C8"/>
    <w:rsid w:val="003C2702"/>
    <w:rsid w:val="003C302A"/>
    <w:rsid w:val="003C76D0"/>
    <w:rsid w:val="003C7806"/>
    <w:rsid w:val="003C7829"/>
    <w:rsid w:val="003D0488"/>
    <w:rsid w:val="003D109F"/>
    <w:rsid w:val="003D2478"/>
    <w:rsid w:val="003D2B1B"/>
    <w:rsid w:val="003D2FC4"/>
    <w:rsid w:val="003D3C45"/>
    <w:rsid w:val="003D43AD"/>
    <w:rsid w:val="003D5B1F"/>
    <w:rsid w:val="003D5E56"/>
    <w:rsid w:val="003E15FA"/>
    <w:rsid w:val="003E1A76"/>
    <w:rsid w:val="003E55E4"/>
    <w:rsid w:val="003E74E3"/>
    <w:rsid w:val="003E7794"/>
    <w:rsid w:val="003F05C7"/>
    <w:rsid w:val="003F2CD4"/>
    <w:rsid w:val="003F2F8E"/>
    <w:rsid w:val="003F30C4"/>
    <w:rsid w:val="003F66C9"/>
    <w:rsid w:val="003F6BBE"/>
    <w:rsid w:val="004000E8"/>
    <w:rsid w:val="00402119"/>
    <w:rsid w:val="00402E2B"/>
    <w:rsid w:val="00403C6B"/>
    <w:rsid w:val="0040512B"/>
    <w:rsid w:val="00405CA5"/>
    <w:rsid w:val="00406BCB"/>
    <w:rsid w:val="00407CD3"/>
    <w:rsid w:val="00410134"/>
    <w:rsid w:val="00410B72"/>
    <w:rsid w:val="00410F18"/>
    <w:rsid w:val="00411BEF"/>
    <w:rsid w:val="0041263E"/>
    <w:rsid w:val="0041273E"/>
    <w:rsid w:val="00413AAC"/>
    <w:rsid w:val="00414336"/>
    <w:rsid w:val="00420040"/>
    <w:rsid w:val="00421105"/>
    <w:rsid w:val="0042167E"/>
    <w:rsid w:val="00421AD4"/>
    <w:rsid w:val="004222FD"/>
    <w:rsid w:val="004242F4"/>
    <w:rsid w:val="00424E2D"/>
    <w:rsid w:val="00426B40"/>
    <w:rsid w:val="00427248"/>
    <w:rsid w:val="00433253"/>
    <w:rsid w:val="00433B2B"/>
    <w:rsid w:val="00434026"/>
    <w:rsid w:val="00437447"/>
    <w:rsid w:val="00441A92"/>
    <w:rsid w:val="00441BE2"/>
    <w:rsid w:val="00444F56"/>
    <w:rsid w:val="00446488"/>
    <w:rsid w:val="0045110E"/>
    <w:rsid w:val="00451457"/>
    <w:rsid w:val="004517AA"/>
    <w:rsid w:val="00451DCD"/>
    <w:rsid w:val="00452114"/>
    <w:rsid w:val="00452CAC"/>
    <w:rsid w:val="0045432A"/>
    <w:rsid w:val="004551FB"/>
    <w:rsid w:val="00457565"/>
    <w:rsid w:val="00457B71"/>
    <w:rsid w:val="00462950"/>
    <w:rsid w:val="00465F3A"/>
    <w:rsid w:val="004669E2"/>
    <w:rsid w:val="00470C31"/>
    <w:rsid w:val="004734D0"/>
    <w:rsid w:val="0047534F"/>
    <w:rsid w:val="0047556B"/>
    <w:rsid w:val="00477768"/>
    <w:rsid w:val="0048100B"/>
    <w:rsid w:val="0048388F"/>
    <w:rsid w:val="00486644"/>
    <w:rsid w:val="00487A3E"/>
    <w:rsid w:val="00492BC5"/>
    <w:rsid w:val="004964F1"/>
    <w:rsid w:val="004A16BC"/>
    <w:rsid w:val="004A2B94"/>
    <w:rsid w:val="004A3758"/>
    <w:rsid w:val="004A4096"/>
    <w:rsid w:val="004B277B"/>
    <w:rsid w:val="004B4700"/>
    <w:rsid w:val="004B4BFE"/>
    <w:rsid w:val="004B7C0C"/>
    <w:rsid w:val="004B7E44"/>
    <w:rsid w:val="004C0556"/>
    <w:rsid w:val="004C3898"/>
    <w:rsid w:val="004D36B1"/>
    <w:rsid w:val="004D7EBD"/>
    <w:rsid w:val="004E2680"/>
    <w:rsid w:val="004E28F9"/>
    <w:rsid w:val="004E462E"/>
    <w:rsid w:val="004E56DC"/>
    <w:rsid w:val="004E6AA9"/>
    <w:rsid w:val="004E76F4"/>
    <w:rsid w:val="004F01E4"/>
    <w:rsid w:val="004F0B4E"/>
    <w:rsid w:val="004F0B6C"/>
    <w:rsid w:val="004F2078"/>
    <w:rsid w:val="004F4DA3"/>
    <w:rsid w:val="004F572F"/>
    <w:rsid w:val="004F5B62"/>
    <w:rsid w:val="004F6661"/>
    <w:rsid w:val="00504308"/>
    <w:rsid w:val="00506557"/>
    <w:rsid w:val="0050677A"/>
    <w:rsid w:val="005079A6"/>
    <w:rsid w:val="005108D8"/>
    <w:rsid w:val="00510BC0"/>
    <w:rsid w:val="005111E2"/>
    <w:rsid w:val="005116F9"/>
    <w:rsid w:val="005117D1"/>
    <w:rsid w:val="0051291E"/>
    <w:rsid w:val="005153A7"/>
    <w:rsid w:val="005154AE"/>
    <w:rsid w:val="00515F41"/>
    <w:rsid w:val="00517113"/>
    <w:rsid w:val="005201AA"/>
    <w:rsid w:val="00520FD3"/>
    <w:rsid w:val="005219CF"/>
    <w:rsid w:val="0052217D"/>
    <w:rsid w:val="00530213"/>
    <w:rsid w:val="00530BE5"/>
    <w:rsid w:val="00531EC3"/>
    <w:rsid w:val="005346B6"/>
    <w:rsid w:val="00534B59"/>
    <w:rsid w:val="005352C7"/>
    <w:rsid w:val="00536759"/>
    <w:rsid w:val="00537C62"/>
    <w:rsid w:val="00542239"/>
    <w:rsid w:val="00546970"/>
    <w:rsid w:val="00547DA4"/>
    <w:rsid w:val="00554E19"/>
    <w:rsid w:val="00554F75"/>
    <w:rsid w:val="00555B13"/>
    <w:rsid w:val="0056088F"/>
    <w:rsid w:val="0056121F"/>
    <w:rsid w:val="005657D7"/>
    <w:rsid w:val="005720E3"/>
    <w:rsid w:val="00572505"/>
    <w:rsid w:val="0058053B"/>
    <w:rsid w:val="00582809"/>
    <w:rsid w:val="005853E0"/>
    <w:rsid w:val="005866DB"/>
    <w:rsid w:val="0058798C"/>
    <w:rsid w:val="005900FA"/>
    <w:rsid w:val="00591C4A"/>
    <w:rsid w:val="005935A4"/>
    <w:rsid w:val="005948C2"/>
    <w:rsid w:val="005958B0"/>
    <w:rsid w:val="00595DCA"/>
    <w:rsid w:val="0059779B"/>
    <w:rsid w:val="005A209A"/>
    <w:rsid w:val="005A2640"/>
    <w:rsid w:val="005A4993"/>
    <w:rsid w:val="005A54CD"/>
    <w:rsid w:val="005A5DE4"/>
    <w:rsid w:val="005A6006"/>
    <w:rsid w:val="005A662D"/>
    <w:rsid w:val="005B35D7"/>
    <w:rsid w:val="005B392A"/>
    <w:rsid w:val="005B3AA3"/>
    <w:rsid w:val="005B4ED7"/>
    <w:rsid w:val="005B6F83"/>
    <w:rsid w:val="005C630A"/>
    <w:rsid w:val="005C6B8F"/>
    <w:rsid w:val="005C74FB"/>
    <w:rsid w:val="005D1602"/>
    <w:rsid w:val="005D6AEC"/>
    <w:rsid w:val="005E091D"/>
    <w:rsid w:val="005E1345"/>
    <w:rsid w:val="005E385F"/>
    <w:rsid w:val="005E5B81"/>
    <w:rsid w:val="005E6E37"/>
    <w:rsid w:val="005F2CB1"/>
    <w:rsid w:val="005F3025"/>
    <w:rsid w:val="005F618C"/>
    <w:rsid w:val="005F6C0A"/>
    <w:rsid w:val="005F70BD"/>
    <w:rsid w:val="006025A6"/>
    <w:rsid w:val="0060283C"/>
    <w:rsid w:val="006041E7"/>
    <w:rsid w:val="00604F14"/>
    <w:rsid w:val="00611B83"/>
    <w:rsid w:val="00611DBC"/>
    <w:rsid w:val="00613257"/>
    <w:rsid w:val="00615919"/>
    <w:rsid w:val="0061722F"/>
    <w:rsid w:val="00620798"/>
    <w:rsid w:val="00620A71"/>
    <w:rsid w:val="00620D80"/>
    <w:rsid w:val="00621F18"/>
    <w:rsid w:val="006234A6"/>
    <w:rsid w:val="00624D23"/>
    <w:rsid w:val="00624E82"/>
    <w:rsid w:val="00630001"/>
    <w:rsid w:val="00630193"/>
    <w:rsid w:val="006311B3"/>
    <w:rsid w:val="0063284C"/>
    <w:rsid w:val="006361FA"/>
    <w:rsid w:val="00636398"/>
    <w:rsid w:val="006368D3"/>
    <w:rsid w:val="006377EC"/>
    <w:rsid w:val="0064151F"/>
    <w:rsid w:val="00641533"/>
    <w:rsid w:val="0064208D"/>
    <w:rsid w:val="0064284E"/>
    <w:rsid w:val="00643475"/>
    <w:rsid w:val="0064396A"/>
    <w:rsid w:val="0064624E"/>
    <w:rsid w:val="0064746F"/>
    <w:rsid w:val="00650AB9"/>
    <w:rsid w:val="006523B5"/>
    <w:rsid w:val="00652CBD"/>
    <w:rsid w:val="00654186"/>
    <w:rsid w:val="00655733"/>
    <w:rsid w:val="00655ACD"/>
    <w:rsid w:val="0065610D"/>
    <w:rsid w:val="00656A92"/>
    <w:rsid w:val="00656DDE"/>
    <w:rsid w:val="0066011D"/>
    <w:rsid w:val="006607C0"/>
    <w:rsid w:val="006613A6"/>
    <w:rsid w:val="00661FC9"/>
    <w:rsid w:val="006627A2"/>
    <w:rsid w:val="006634E6"/>
    <w:rsid w:val="00663BFD"/>
    <w:rsid w:val="00663D4B"/>
    <w:rsid w:val="006655EE"/>
    <w:rsid w:val="00665778"/>
    <w:rsid w:val="006672CE"/>
    <w:rsid w:val="006676FA"/>
    <w:rsid w:val="00667EE7"/>
    <w:rsid w:val="00670922"/>
    <w:rsid w:val="00670BE1"/>
    <w:rsid w:val="0067218F"/>
    <w:rsid w:val="00672AFE"/>
    <w:rsid w:val="006741F2"/>
    <w:rsid w:val="0067479A"/>
    <w:rsid w:val="00674CC3"/>
    <w:rsid w:val="00675C72"/>
    <w:rsid w:val="006762B4"/>
    <w:rsid w:val="006771F9"/>
    <w:rsid w:val="006776D7"/>
    <w:rsid w:val="00681003"/>
    <w:rsid w:val="006817C9"/>
    <w:rsid w:val="00683ECE"/>
    <w:rsid w:val="00685335"/>
    <w:rsid w:val="00692D5E"/>
    <w:rsid w:val="00695FC2"/>
    <w:rsid w:val="00696949"/>
    <w:rsid w:val="00697052"/>
    <w:rsid w:val="006A4260"/>
    <w:rsid w:val="006A46FB"/>
    <w:rsid w:val="006A5E28"/>
    <w:rsid w:val="006A697B"/>
    <w:rsid w:val="006A7AFF"/>
    <w:rsid w:val="006B044F"/>
    <w:rsid w:val="006B1816"/>
    <w:rsid w:val="006B2099"/>
    <w:rsid w:val="006B43A1"/>
    <w:rsid w:val="006B50CF"/>
    <w:rsid w:val="006B62D6"/>
    <w:rsid w:val="006B7268"/>
    <w:rsid w:val="006B7B80"/>
    <w:rsid w:val="006C034A"/>
    <w:rsid w:val="006C03B8"/>
    <w:rsid w:val="006C578E"/>
    <w:rsid w:val="006C5EC9"/>
    <w:rsid w:val="006C6059"/>
    <w:rsid w:val="006C7522"/>
    <w:rsid w:val="006D0E72"/>
    <w:rsid w:val="006D2617"/>
    <w:rsid w:val="006D2F8B"/>
    <w:rsid w:val="006D4B40"/>
    <w:rsid w:val="006D6F08"/>
    <w:rsid w:val="006E062C"/>
    <w:rsid w:val="006E27CF"/>
    <w:rsid w:val="006E28B7"/>
    <w:rsid w:val="006E3310"/>
    <w:rsid w:val="006E4143"/>
    <w:rsid w:val="006E4E39"/>
    <w:rsid w:val="006E565E"/>
    <w:rsid w:val="006E673D"/>
    <w:rsid w:val="006E74D7"/>
    <w:rsid w:val="006E7D3B"/>
    <w:rsid w:val="006F1B70"/>
    <w:rsid w:val="006F2880"/>
    <w:rsid w:val="006F341D"/>
    <w:rsid w:val="006F3CDE"/>
    <w:rsid w:val="006F58D4"/>
    <w:rsid w:val="006F6862"/>
    <w:rsid w:val="006F6A70"/>
    <w:rsid w:val="006F77E6"/>
    <w:rsid w:val="0070346E"/>
    <w:rsid w:val="00704EDB"/>
    <w:rsid w:val="0070537F"/>
    <w:rsid w:val="00705A1E"/>
    <w:rsid w:val="00706101"/>
    <w:rsid w:val="00707072"/>
    <w:rsid w:val="00707D61"/>
    <w:rsid w:val="00712287"/>
    <w:rsid w:val="00712772"/>
    <w:rsid w:val="0071364A"/>
    <w:rsid w:val="007148D3"/>
    <w:rsid w:val="00715392"/>
    <w:rsid w:val="007157B6"/>
    <w:rsid w:val="00715B9A"/>
    <w:rsid w:val="00721593"/>
    <w:rsid w:val="00721A26"/>
    <w:rsid w:val="00726EA6"/>
    <w:rsid w:val="00727208"/>
    <w:rsid w:val="00727680"/>
    <w:rsid w:val="007307B4"/>
    <w:rsid w:val="007335DF"/>
    <w:rsid w:val="0073412A"/>
    <w:rsid w:val="007347CD"/>
    <w:rsid w:val="007348B1"/>
    <w:rsid w:val="00734B23"/>
    <w:rsid w:val="007362A6"/>
    <w:rsid w:val="00736D7D"/>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5281"/>
    <w:rsid w:val="00766BAD"/>
    <w:rsid w:val="007711C1"/>
    <w:rsid w:val="007721E7"/>
    <w:rsid w:val="007730BD"/>
    <w:rsid w:val="00775294"/>
    <w:rsid w:val="007755F2"/>
    <w:rsid w:val="00776971"/>
    <w:rsid w:val="0078177E"/>
    <w:rsid w:val="0078304C"/>
    <w:rsid w:val="00783673"/>
    <w:rsid w:val="00785490"/>
    <w:rsid w:val="007858EF"/>
    <w:rsid w:val="00790E60"/>
    <w:rsid w:val="007925EA"/>
    <w:rsid w:val="00793CD8"/>
    <w:rsid w:val="00795C92"/>
    <w:rsid w:val="00796231"/>
    <w:rsid w:val="00796E71"/>
    <w:rsid w:val="007A1CB3"/>
    <w:rsid w:val="007A306F"/>
    <w:rsid w:val="007A43A6"/>
    <w:rsid w:val="007A58A6"/>
    <w:rsid w:val="007B24F4"/>
    <w:rsid w:val="007B2FB2"/>
    <w:rsid w:val="007B3D2D"/>
    <w:rsid w:val="007B50AE"/>
    <w:rsid w:val="007B51DF"/>
    <w:rsid w:val="007B565F"/>
    <w:rsid w:val="007C05DD"/>
    <w:rsid w:val="007C146B"/>
    <w:rsid w:val="007C2EEB"/>
    <w:rsid w:val="007C335A"/>
    <w:rsid w:val="007C3D18"/>
    <w:rsid w:val="007C5F5B"/>
    <w:rsid w:val="007C60BF"/>
    <w:rsid w:val="007C6A07"/>
    <w:rsid w:val="007C75A1"/>
    <w:rsid w:val="007C77A5"/>
    <w:rsid w:val="007D04E5"/>
    <w:rsid w:val="007D3A6A"/>
    <w:rsid w:val="007D5901"/>
    <w:rsid w:val="007D7526"/>
    <w:rsid w:val="007D7E9F"/>
    <w:rsid w:val="007E4160"/>
    <w:rsid w:val="007E4610"/>
    <w:rsid w:val="007E4715"/>
    <w:rsid w:val="007E505B"/>
    <w:rsid w:val="007E7091"/>
    <w:rsid w:val="007F2CB1"/>
    <w:rsid w:val="007F413A"/>
    <w:rsid w:val="00803C2E"/>
    <w:rsid w:val="00803FAE"/>
    <w:rsid w:val="0080605F"/>
    <w:rsid w:val="00807786"/>
    <w:rsid w:val="00810523"/>
    <w:rsid w:val="0081065B"/>
    <w:rsid w:val="00811981"/>
    <w:rsid w:val="00811FCB"/>
    <w:rsid w:val="00813D72"/>
    <w:rsid w:val="008148EA"/>
    <w:rsid w:val="008158D6"/>
    <w:rsid w:val="008159AF"/>
    <w:rsid w:val="00817196"/>
    <w:rsid w:val="00823161"/>
    <w:rsid w:val="008235DB"/>
    <w:rsid w:val="00824AB4"/>
    <w:rsid w:val="00824BF9"/>
    <w:rsid w:val="00825C42"/>
    <w:rsid w:val="00825D25"/>
    <w:rsid w:val="008261AF"/>
    <w:rsid w:val="00827D6F"/>
    <w:rsid w:val="0083272D"/>
    <w:rsid w:val="00835D42"/>
    <w:rsid w:val="008374F2"/>
    <w:rsid w:val="008376AC"/>
    <w:rsid w:val="008434B7"/>
    <w:rsid w:val="008444E8"/>
    <w:rsid w:val="00844E80"/>
    <w:rsid w:val="00846FE7"/>
    <w:rsid w:val="00847866"/>
    <w:rsid w:val="00850CEC"/>
    <w:rsid w:val="00852C69"/>
    <w:rsid w:val="00854554"/>
    <w:rsid w:val="00856911"/>
    <w:rsid w:val="008571C3"/>
    <w:rsid w:val="00860AEC"/>
    <w:rsid w:val="00860BEE"/>
    <w:rsid w:val="008677FD"/>
    <w:rsid w:val="008706D4"/>
    <w:rsid w:val="00870F8A"/>
    <w:rsid w:val="00870FD6"/>
    <w:rsid w:val="008719A4"/>
    <w:rsid w:val="00871D23"/>
    <w:rsid w:val="008736E3"/>
    <w:rsid w:val="00873E27"/>
    <w:rsid w:val="00874312"/>
    <w:rsid w:val="0087437C"/>
    <w:rsid w:val="00874518"/>
    <w:rsid w:val="00875CD7"/>
    <w:rsid w:val="00876B4D"/>
    <w:rsid w:val="00877F18"/>
    <w:rsid w:val="008865E3"/>
    <w:rsid w:val="008869D7"/>
    <w:rsid w:val="00891C27"/>
    <w:rsid w:val="00893FCD"/>
    <w:rsid w:val="00894A88"/>
    <w:rsid w:val="00895386"/>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51A0"/>
    <w:rsid w:val="008B592A"/>
    <w:rsid w:val="008B7B5C"/>
    <w:rsid w:val="008C0C99"/>
    <w:rsid w:val="008C0D69"/>
    <w:rsid w:val="008C1040"/>
    <w:rsid w:val="008C2017"/>
    <w:rsid w:val="008C2C02"/>
    <w:rsid w:val="008C4958"/>
    <w:rsid w:val="008C4BAA"/>
    <w:rsid w:val="008C5C56"/>
    <w:rsid w:val="008C6AE8"/>
    <w:rsid w:val="008C6D9D"/>
    <w:rsid w:val="008C7573"/>
    <w:rsid w:val="008D247A"/>
    <w:rsid w:val="008D34F1"/>
    <w:rsid w:val="008D39D8"/>
    <w:rsid w:val="008D4B2B"/>
    <w:rsid w:val="008D52B8"/>
    <w:rsid w:val="008D6D1A"/>
    <w:rsid w:val="008E065E"/>
    <w:rsid w:val="008E0927"/>
    <w:rsid w:val="008E1909"/>
    <w:rsid w:val="008E7A7B"/>
    <w:rsid w:val="008F1EAB"/>
    <w:rsid w:val="008F2D90"/>
    <w:rsid w:val="008F33DC"/>
    <w:rsid w:val="008F477F"/>
    <w:rsid w:val="008F7E56"/>
    <w:rsid w:val="00902350"/>
    <w:rsid w:val="0090336B"/>
    <w:rsid w:val="00903F3B"/>
    <w:rsid w:val="009053AA"/>
    <w:rsid w:val="00905B54"/>
    <w:rsid w:val="00906939"/>
    <w:rsid w:val="009069A2"/>
    <w:rsid w:val="00910B7D"/>
    <w:rsid w:val="00911DFB"/>
    <w:rsid w:val="0091244A"/>
    <w:rsid w:val="009139D9"/>
    <w:rsid w:val="00914AD8"/>
    <w:rsid w:val="00916079"/>
    <w:rsid w:val="00917CE9"/>
    <w:rsid w:val="00920BF2"/>
    <w:rsid w:val="00922010"/>
    <w:rsid w:val="009259AC"/>
    <w:rsid w:val="00931BD9"/>
    <w:rsid w:val="00935FE5"/>
    <w:rsid w:val="009368F3"/>
    <w:rsid w:val="00941375"/>
    <w:rsid w:val="00941636"/>
    <w:rsid w:val="00943742"/>
    <w:rsid w:val="00945C05"/>
    <w:rsid w:val="00946128"/>
    <w:rsid w:val="00946945"/>
    <w:rsid w:val="00947713"/>
    <w:rsid w:val="009501A9"/>
    <w:rsid w:val="00950DE7"/>
    <w:rsid w:val="00953920"/>
    <w:rsid w:val="00953D47"/>
    <w:rsid w:val="00953E65"/>
    <w:rsid w:val="0095681E"/>
    <w:rsid w:val="00956F13"/>
    <w:rsid w:val="009572D4"/>
    <w:rsid w:val="00961921"/>
    <w:rsid w:val="0096430A"/>
    <w:rsid w:val="0096554B"/>
    <w:rsid w:val="0096584A"/>
    <w:rsid w:val="00971F08"/>
    <w:rsid w:val="0097603D"/>
    <w:rsid w:val="00976949"/>
    <w:rsid w:val="00980477"/>
    <w:rsid w:val="009804E2"/>
    <w:rsid w:val="0098511F"/>
    <w:rsid w:val="00985253"/>
    <w:rsid w:val="009853B3"/>
    <w:rsid w:val="00986236"/>
    <w:rsid w:val="00990630"/>
    <w:rsid w:val="00991761"/>
    <w:rsid w:val="00994DCA"/>
    <w:rsid w:val="00995B69"/>
    <w:rsid w:val="009960EC"/>
    <w:rsid w:val="009970DD"/>
    <w:rsid w:val="009A0FBA"/>
    <w:rsid w:val="009A1601"/>
    <w:rsid w:val="009A462D"/>
    <w:rsid w:val="009A5944"/>
    <w:rsid w:val="009A5CBA"/>
    <w:rsid w:val="009A7628"/>
    <w:rsid w:val="009B1F30"/>
    <w:rsid w:val="009B3AC2"/>
    <w:rsid w:val="009B4DF4"/>
    <w:rsid w:val="009B564E"/>
    <w:rsid w:val="009B589B"/>
    <w:rsid w:val="009B7E87"/>
    <w:rsid w:val="009C202F"/>
    <w:rsid w:val="009C2CAF"/>
    <w:rsid w:val="009C2F10"/>
    <w:rsid w:val="009C376A"/>
    <w:rsid w:val="009C403E"/>
    <w:rsid w:val="009D4FF0"/>
    <w:rsid w:val="009D703C"/>
    <w:rsid w:val="009D718F"/>
    <w:rsid w:val="009E068F"/>
    <w:rsid w:val="009E14E0"/>
    <w:rsid w:val="009E35DB"/>
    <w:rsid w:val="009E3D33"/>
    <w:rsid w:val="009E47A3"/>
    <w:rsid w:val="009E5399"/>
    <w:rsid w:val="009E5C04"/>
    <w:rsid w:val="009E6884"/>
    <w:rsid w:val="009F08F3"/>
    <w:rsid w:val="009F344F"/>
    <w:rsid w:val="00A01C15"/>
    <w:rsid w:val="00A048A8"/>
    <w:rsid w:val="00A04F49"/>
    <w:rsid w:val="00A06B24"/>
    <w:rsid w:val="00A12B6F"/>
    <w:rsid w:val="00A13999"/>
    <w:rsid w:val="00A13E54"/>
    <w:rsid w:val="00A17F63"/>
    <w:rsid w:val="00A208E5"/>
    <w:rsid w:val="00A2193B"/>
    <w:rsid w:val="00A22CE5"/>
    <w:rsid w:val="00A2351A"/>
    <w:rsid w:val="00A23E44"/>
    <w:rsid w:val="00A264A9"/>
    <w:rsid w:val="00A27785"/>
    <w:rsid w:val="00A30187"/>
    <w:rsid w:val="00A3173F"/>
    <w:rsid w:val="00A3448A"/>
    <w:rsid w:val="00A36297"/>
    <w:rsid w:val="00A41E2B"/>
    <w:rsid w:val="00A44747"/>
    <w:rsid w:val="00A45B74"/>
    <w:rsid w:val="00A50465"/>
    <w:rsid w:val="00A51FE9"/>
    <w:rsid w:val="00A52E1D"/>
    <w:rsid w:val="00A60FC0"/>
    <w:rsid w:val="00A61499"/>
    <w:rsid w:val="00A62A77"/>
    <w:rsid w:val="00A63483"/>
    <w:rsid w:val="00A657D7"/>
    <w:rsid w:val="00A660AC"/>
    <w:rsid w:val="00A67E6C"/>
    <w:rsid w:val="00A71B99"/>
    <w:rsid w:val="00A739D0"/>
    <w:rsid w:val="00A761D4"/>
    <w:rsid w:val="00A77626"/>
    <w:rsid w:val="00A77EC4"/>
    <w:rsid w:val="00A83031"/>
    <w:rsid w:val="00A8332C"/>
    <w:rsid w:val="00A84FE8"/>
    <w:rsid w:val="00A86632"/>
    <w:rsid w:val="00A91C8A"/>
    <w:rsid w:val="00A92879"/>
    <w:rsid w:val="00A9442A"/>
    <w:rsid w:val="00A97168"/>
    <w:rsid w:val="00A9774D"/>
    <w:rsid w:val="00AA016F"/>
    <w:rsid w:val="00AA1090"/>
    <w:rsid w:val="00AA1ED6"/>
    <w:rsid w:val="00AA51D6"/>
    <w:rsid w:val="00AB0BC8"/>
    <w:rsid w:val="00AB11CA"/>
    <w:rsid w:val="00AB13E0"/>
    <w:rsid w:val="00AB14D9"/>
    <w:rsid w:val="00AB2119"/>
    <w:rsid w:val="00AB487B"/>
    <w:rsid w:val="00AB4AB8"/>
    <w:rsid w:val="00AB5A76"/>
    <w:rsid w:val="00AB655E"/>
    <w:rsid w:val="00AB6F13"/>
    <w:rsid w:val="00AC007F"/>
    <w:rsid w:val="00AC2ECD"/>
    <w:rsid w:val="00AC3119"/>
    <w:rsid w:val="00AC44D9"/>
    <w:rsid w:val="00AC49FB"/>
    <w:rsid w:val="00AC5A10"/>
    <w:rsid w:val="00AD0AA3"/>
    <w:rsid w:val="00AD3F94"/>
    <w:rsid w:val="00AD4A5A"/>
    <w:rsid w:val="00AE27AC"/>
    <w:rsid w:val="00AE2B9F"/>
    <w:rsid w:val="00AE40E0"/>
    <w:rsid w:val="00AE4DBA"/>
    <w:rsid w:val="00AE4F07"/>
    <w:rsid w:val="00AF1C5D"/>
    <w:rsid w:val="00AF42D7"/>
    <w:rsid w:val="00AF5CF4"/>
    <w:rsid w:val="00AF6FA9"/>
    <w:rsid w:val="00B006FE"/>
    <w:rsid w:val="00B007CB"/>
    <w:rsid w:val="00B02AA9"/>
    <w:rsid w:val="00B02FA3"/>
    <w:rsid w:val="00B05084"/>
    <w:rsid w:val="00B11EC2"/>
    <w:rsid w:val="00B120EF"/>
    <w:rsid w:val="00B129FA"/>
    <w:rsid w:val="00B157F9"/>
    <w:rsid w:val="00B15FA3"/>
    <w:rsid w:val="00B167F1"/>
    <w:rsid w:val="00B20256"/>
    <w:rsid w:val="00B20D09"/>
    <w:rsid w:val="00B2763F"/>
    <w:rsid w:val="00B2767C"/>
    <w:rsid w:val="00B27AAC"/>
    <w:rsid w:val="00B30929"/>
    <w:rsid w:val="00B372AA"/>
    <w:rsid w:val="00B40445"/>
    <w:rsid w:val="00B41888"/>
    <w:rsid w:val="00B43194"/>
    <w:rsid w:val="00B45A52"/>
    <w:rsid w:val="00B46175"/>
    <w:rsid w:val="00B57278"/>
    <w:rsid w:val="00B62510"/>
    <w:rsid w:val="00B62AAA"/>
    <w:rsid w:val="00B652C5"/>
    <w:rsid w:val="00B65CF3"/>
    <w:rsid w:val="00B65E91"/>
    <w:rsid w:val="00B664C7"/>
    <w:rsid w:val="00B67396"/>
    <w:rsid w:val="00B71ACD"/>
    <w:rsid w:val="00B739F6"/>
    <w:rsid w:val="00B73A48"/>
    <w:rsid w:val="00B81A6C"/>
    <w:rsid w:val="00B85DE5"/>
    <w:rsid w:val="00B864D8"/>
    <w:rsid w:val="00B90F73"/>
    <w:rsid w:val="00B93B59"/>
    <w:rsid w:val="00B9406A"/>
    <w:rsid w:val="00B944EE"/>
    <w:rsid w:val="00BA2280"/>
    <w:rsid w:val="00BA2A08"/>
    <w:rsid w:val="00BA56D2"/>
    <w:rsid w:val="00BA7219"/>
    <w:rsid w:val="00BA76E0"/>
    <w:rsid w:val="00BB2983"/>
    <w:rsid w:val="00BB2A25"/>
    <w:rsid w:val="00BB4CD9"/>
    <w:rsid w:val="00BB51E9"/>
    <w:rsid w:val="00BB659C"/>
    <w:rsid w:val="00BC0085"/>
    <w:rsid w:val="00BC0214"/>
    <w:rsid w:val="00BC0FDC"/>
    <w:rsid w:val="00BC22EF"/>
    <w:rsid w:val="00BC2963"/>
    <w:rsid w:val="00BC3053"/>
    <w:rsid w:val="00BC4D2E"/>
    <w:rsid w:val="00BC6E80"/>
    <w:rsid w:val="00BC71C7"/>
    <w:rsid w:val="00BD3338"/>
    <w:rsid w:val="00BD40B2"/>
    <w:rsid w:val="00BD48AC"/>
    <w:rsid w:val="00BD5F1A"/>
    <w:rsid w:val="00BE09CD"/>
    <w:rsid w:val="00BE1234"/>
    <w:rsid w:val="00BE2FA6"/>
    <w:rsid w:val="00BE333F"/>
    <w:rsid w:val="00BE6348"/>
    <w:rsid w:val="00BE7406"/>
    <w:rsid w:val="00BE7603"/>
    <w:rsid w:val="00BF24AF"/>
    <w:rsid w:val="00BF2794"/>
    <w:rsid w:val="00BF3279"/>
    <w:rsid w:val="00BF63F8"/>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82C"/>
    <w:rsid w:val="00C2514E"/>
    <w:rsid w:val="00C25A39"/>
    <w:rsid w:val="00C279B5"/>
    <w:rsid w:val="00C27C45"/>
    <w:rsid w:val="00C27C5B"/>
    <w:rsid w:val="00C30DB9"/>
    <w:rsid w:val="00C30F56"/>
    <w:rsid w:val="00C30F8F"/>
    <w:rsid w:val="00C323B5"/>
    <w:rsid w:val="00C323D0"/>
    <w:rsid w:val="00C3719D"/>
    <w:rsid w:val="00C42DDA"/>
    <w:rsid w:val="00C50643"/>
    <w:rsid w:val="00C53E02"/>
    <w:rsid w:val="00C54489"/>
    <w:rsid w:val="00C545EB"/>
    <w:rsid w:val="00C54995"/>
    <w:rsid w:val="00C54D41"/>
    <w:rsid w:val="00C60783"/>
    <w:rsid w:val="00C64672"/>
    <w:rsid w:val="00C70697"/>
    <w:rsid w:val="00C72EF4"/>
    <w:rsid w:val="00C75D2F"/>
    <w:rsid w:val="00C767BE"/>
    <w:rsid w:val="00C76963"/>
    <w:rsid w:val="00C76E3C"/>
    <w:rsid w:val="00C81415"/>
    <w:rsid w:val="00C81568"/>
    <w:rsid w:val="00C9027A"/>
    <w:rsid w:val="00C9068E"/>
    <w:rsid w:val="00C90F6A"/>
    <w:rsid w:val="00C92525"/>
    <w:rsid w:val="00C92BAA"/>
    <w:rsid w:val="00C93C4B"/>
    <w:rsid w:val="00C944AB"/>
    <w:rsid w:val="00C95B40"/>
    <w:rsid w:val="00C97084"/>
    <w:rsid w:val="00CA1ED8"/>
    <w:rsid w:val="00CA33B3"/>
    <w:rsid w:val="00CA4AEF"/>
    <w:rsid w:val="00CB024F"/>
    <w:rsid w:val="00CB1F63"/>
    <w:rsid w:val="00CB27BB"/>
    <w:rsid w:val="00CB6B31"/>
    <w:rsid w:val="00CB7170"/>
    <w:rsid w:val="00CC040E"/>
    <w:rsid w:val="00CC111F"/>
    <w:rsid w:val="00CC2011"/>
    <w:rsid w:val="00CC3E11"/>
    <w:rsid w:val="00CC3EA0"/>
    <w:rsid w:val="00CC45DD"/>
    <w:rsid w:val="00CC7B45"/>
    <w:rsid w:val="00CD0CA2"/>
    <w:rsid w:val="00CD1188"/>
    <w:rsid w:val="00CD2EAC"/>
    <w:rsid w:val="00CD2ED1"/>
    <w:rsid w:val="00CD337B"/>
    <w:rsid w:val="00CD5522"/>
    <w:rsid w:val="00CE0424"/>
    <w:rsid w:val="00CE3060"/>
    <w:rsid w:val="00CE494E"/>
    <w:rsid w:val="00CE6DBB"/>
    <w:rsid w:val="00CE6E47"/>
    <w:rsid w:val="00CE7561"/>
    <w:rsid w:val="00CF1354"/>
    <w:rsid w:val="00CF3B1F"/>
    <w:rsid w:val="00CF3BF6"/>
    <w:rsid w:val="00CF625B"/>
    <w:rsid w:val="00CF687E"/>
    <w:rsid w:val="00D00904"/>
    <w:rsid w:val="00D0208B"/>
    <w:rsid w:val="00D0241C"/>
    <w:rsid w:val="00D0349B"/>
    <w:rsid w:val="00D0375D"/>
    <w:rsid w:val="00D04434"/>
    <w:rsid w:val="00D05997"/>
    <w:rsid w:val="00D10249"/>
    <w:rsid w:val="00D115C3"/>
    <w:rsid w:val="00D11897"/>
    <w:rsid w:val="00D13135"/>
    <w:rsid w:val="00D13E4E"/>
    <w:rsid w:val="00D16D5F"/>
    <w:rsid w:val="00D201EE"/>
    <w:rsid w:val="00D21EFD"/>
    <w:rsid w:val="00D239A7"/>
    <w:rsid w:val="00D23F47"/>
    <w:rsid w:val="00D3005B"/>
    <w:rsid w:val="00D36E71"/>
    <w:rsid w:val="00D37D87"/>
    <w:rsid w:val="00D40B33"/>
    <w:rsid w:val="00D4318F"/>
    <w:rsid w:val="00D438BF"/>
    <w:rsid w:val="00D440F8"/>
    <w:rsid w:val="00D471A7"/>
    <w:rsid w:val="00D546FF"/>
    <w:rsid w:val="00D55353"/>
    <w:rsid w:val="00D55AD5"/>
    <w:rsid w:val="00D576CA"/>
    <w:rsid w:val="00D57D56"/>
    <w:rsid w:val="00D60E13"/>
    <w:rsid w:val="00D61AF5"/>
    <w:rsid w:val="00D62CD5"/>
    <w:rsid w:val="00D62F95"/>
    <w:rsid w:val="00D6435F"/>
    <w:rsid w:val="00D6475D"/>
    <w:rsid w:val="00D652B5"/>
    <w:rsid w:val="00D66155"/>
    <w:rsid w:val="00D667AF"/>
    <w:rsid w:val="00D708B0"/>
    <w:rsid w:val="00D70BF8"/>
    <w:rsid w:val="00D73FD9"/>
    <w:rsid w:val="00D75B6F"/>
    <w:rsid w:val="00D77B1D"/>
    <w:rsid w:val="00D8021F"/>
    <w:rsid w:val="00D80383"/>
    <w:rsid w:val="00D823C6"/>
    <w:rsid w:val="00D86A9A"/>
    <w:rsid w:val="00D86CA3"/>
    <w:rsid w:val="00D871CE"/>
    <w:rsid w:val="00D9196D"/>
    <w:rsid w:val="00D92982"/>
    <w:rsid w:val="00D94DB9"/>
    <w:rsid w:val="00DA0EB8"/>
    <w:rsid w:val="00DA305E"/>
    <w:rsid w:val="00DA5007"/>
    <w:rsid w:val="00DA5417"/>
    <w:rsid w:val="00DA56E8"/>
    <w:rsid w:val="00DA6F3D"/>
    <w:rsid w:val="00DB0A9F"/>
    <w:rsid w:val="00DB27F5"/>
    <w:rsid w:val="00DB2A5D"/>
    <w:rsid w:val="00DB377D"/>
    <w:rsid w:val="00DC2D36"/>
    <w:rsid w:val="00DC53EF"/>
    <w:rsid w:val="00DE187A"/>
    <w:rsid w:val="00DE5608"/>
    <w:rsid w:val="00DE58D0"/>
    <w:rsid w:val="00DE654F"/>
    <w:rsid w:val="00DF0B6E"/>
    <w:rsid w:val="00DF15E0"/>
    <w:rsid w:val="00DF37A0"/>
    <w:rsid w:val="00E057E6"/>
    <w:rsid w:val="00E110E7"/>
    <w:rsid w:val="00E11B20"/>
    <w:rsid w:val="00E17FA2"/>
    <w:rsid w:val="00E209B8"/>
    <w:rsid w:val="00E21774"/>
    <w:rsid w:val="00E21E9D"/>
    <w:rsid w:val="00E22330"/>
    <w:rsid w:val="00E24E5E"/>
    <w:rsid w:val="00E30B5A"/>
    <w:rsid w:val="00E3123D"/>
    <w:rsid w:val="00E31461"/>
    <w:rsid w:val="00E31D43"/>
    <w:rsid w:val="00E32608"/>
    <w:rsid w:val="00E33371"/>
    <w:rsid w:val="00E34188"/>
    <w:rsid w:val="00E345CD"/>
    <w:rsid w:val="00E34B6E"/>
    <w:rsid w:val="00E35053"/>
    <w:rsid w:val="00E35559"/>
    <w:rsid w:val="00E3723A"/>
    <w:rsid w:val="00E37860"/>
    <w:rsid w:val="00E4309A"/>
    <w:rsid w:val="00E446F1"/>
    <w:rsid w:val="00E46147"/>
    <w:rsid w:val="00E46886"/>
    <w:rsid w:val="00E46C13"/>
    <w:rsid w:val="00E476CA"/>
    <w:rsid w:val="00E47AEF"/>
    <w:rsid w:val="00E50D95"/>
    <w:rsid w:val="00E533F3"/>
    <w:rsid w:val="00E53B75"/>
    <w:rsid w:val="00E54B4F"/>
    <w:rsid w:val="00E54E3B"/>
    <w:rsid w:val="00E56A6C"/>
    <w:rsid w:val="00E57565"/>
    <w:rsid w:val="00E620E4"/>
    <w:rsid w:val="00E63838"/>
    <w:rsid w:val="00E64434"/>
    <w:rsid w:val="00E67C51"/>
    <w:rsid w:val="00E72EFC"/>
    <w:rsid w:val="00E731AB"/>
    <w:rsid w:val="00E758EC"/>
    <w:rsid w:val="00E8234C"/>
    <w:rsid w:val="00E83AA9"/>
    <w:rsid w:val="00E85658"/>
    <w:rsid w:val="00E85928"/>
    <w:rsid w:val="00E87822"/>
    <w:rsid w:val="00E90395"/>
    <w:rsid w:val="00E90E49"/>
    <w:rsid w:val="00E917F9"/>
    <w:rsid w:val="00E9291C"/>
    <w:rsid w:val="00E93FFE"/>
    <w:rsid w:val="00E94F8A"/>
    <w:rsid w:val="00E964CB"/>
    <w:rsid w:val="00EA095B"/>
    <w:rsid w:val="00EA3535"/>
    <w:rsid w:val="00EA4C6F"/>
    <w:rsid w:val="00EA7A41"/>
    <w:rsid w:val="00EA7D24"/>
    <w:rsid w:val="00EB077B"/>
    <w:rsid w:val="00EB4482"/>
    <w:rsid w:val="00EB4EA2"/>
    <w:rsid w:val="00EC13E8"/>
    <w:rsid w:val="00EC27C6"/>
    <w:rsid w:val="00EC30CD"/>
    <w:rsid w:val="00EC4207"/>
    <w:rsid w:val="00EC5653"/>
    <w:rsid w:val="00EC57AB"/>
    <w:rsid w:val="00EC60B5"/>
    <w:rsid w:val="00EC6A81"/>
    <w:rsid w:val="00EC7092"/>
    <w:rsid w:val="00EC71CE"/>
    <w:rsid w:val="00ED1006"/>
    <w:rsid w:val="00ED15A8"/>
    <w:rsid w:val="00ED2124"/>
    <w:rsid w:val="00ED440B"/>
    <w:rsid w:val="00EE69B9"/>
    <w:rsid w:val="00EF18FE"/>
    <w:rsid w:val="00EF33CE"/>
    <w:rsid w:val="00EF5787"/>
    <w:rsid w:val="00EF60D0"/>
    <w:rsid w:val="00F0528D"/>
    <w:rsid w:val="00F06C67"/>
    <w:rsid w:val="00F06DFD"/>
    <w:rsid w:val="00F071D1"/>
    <w:rsid w:val="00F07533"/>
    <w:rsid w:val="00F07E11"/>
    <w:rsid w:val="00F10629"/>
    <w:rsid w:val="00F1506C"/>
    <w:rsid w:val="00F15FA5"/>
    <w:rsid w:val="00F209B7"/>
    <w:rsid w:val="00F21A69"/>
    <w:rsid w:val="00F2376F"/>
    <w:rsid w:val="00F243D8"/>
    <w:rsid w:val="00F25723"/>
    <w:rsid w:val="00F25AFE"/>
    <w:rsid w:val="00F30828"/>
    <w:rsid w:val="00F313D6"/>
    <w:rsid w:val="00F31AD2"/>
    <w:rsid w:val="00F3353A"/>
    <w:rsid w:val="00F34261"/>
    <w:rsid w:val="00F34704"/>
    <w:rsid w:val="00F34B42"/>
    <w:rsid w:val="00F40F0C"/>
    <w:rsid w:val="00F422A5"/>
    <w:rsid w:val="00F4400A"/>
    <w:rsid w:val="00F44093"/>
    <w:rsid w:val="00F44A55"/>
    <w:rsid w:val="00F47058"/>
    <w:rsid w:val="00F4713B"/>
    <w:rsid w:val="00F4766C"/>
    <w:rsid w:val="00F47965"/>
    <w:rsid w:val="00F507D1"/>
    <w:rsid w:val="00F519CE"/>
    <w:rsid w:val="00F51ADA"/>
    <w:rsid w:val="00F52420"/>
    <w:rsid w:val="00F530B2"/>
    <w:rsid w:val="00F54492"/>
    <w:rsid w:val="00F57E17"/>
    <w:rsid w:val="00F607C5"/>
    <w:rsid w:val="00F60DEA"/>
    <w:rsid w:val="00F6302A"/>
    <w:rsid w:val="00F64C2B"/>
    <w:rsid w:val="00F651BE"/>
    <w:rsid w:val="00F67F53"/>
    <w:rsid w:val="00F70244"/>
    <w:rsid w:val="00F703BE"/>
    <w:rsid w:val="00F71F69"/>
    <w:rsid w:val="00F72B72"/>
    <w:rsid w:val="00F74114"/>
    <w:rsid w:val="00F74BB9"/>
    <w:rsid w:val="00F75582"/>
    <w:rsid w:val="00F75A7F"/>
    <w:rsid w:val="00F75BC9"/>
    <w:rsid w:val="00F76355"/>
    <w:rsid w:val="00F76EFA"/>
    <w:rsid w:val="00F804BE"/>
    <w:rsid w:val="00F817CE"/>
    <w:rsid w:val="00F8374C"/>
    <w:rsid w:val="00F8456C"/>
    <w:rsid w:val="00F859D8"/>
    <w:rsid w:val="00F868F5"/>
    <w:rsid w:val="00F8799F"/>
    <w:rsid w:val="00F87B3A"/>
    <w:rsid w:val="00F9056A"/>
    <w:rsid w:val="00F90F8D"/>
    <w:rsid w:val="00F92782"/>
    <w:rsid w:val="00F93AA9"/>
    <w:rsid w:val="00F96985"/>
    <w:rsid w:val="00F97838"/>
    <w:rsid w:val="00FA09DD"/>
    <w:rsid w:val="00FA2332"/>
    <w:rsid w:val="00FA2BB3"/>
    <w:rsid w:val="00FA5918"/>
    <w:rsid w:val="00FA5FE0"/>
    <w:rsid w:val="00FA7361"/>
    <w:rsid w:val="00FB1FAB"/>
    <w:rsid w:val="00FB3D40"/>
    <w:rsid w:val="00FB4C80"/>
    <w:rsid w:val="00FB581E"/>
    <w:rsid w:val="00FB6A6A"/>
    <w:rsid w:val="00FC11C2"/>
    <w:rsid w:val="00FC4AD0"/>
    <w:rsid w:val="00FC4EF7"/>
    <w:rsid w:val="00FC7429"/>
    <w:rsid w:val="00FD07F6"/>
    <w:rsid w:val="00FD1665"/>
    <w:rsid w:val="00FD1EC8"/>
    <w:rsid w:val="00FD3FB3"/>
    <w:rsid w:val="00FD4684"/>
    <w:rsid w:val="00FD47ED"/>
    <w:rsid w:val="00FD5884"/>
    <w:rsid w:val="00FD74DB"/>
    <w:rsid w:val="00FD7660"/>
    <w:rsid w:val="00FE0655"/>
    <w:rsid w:val="00FE2365"/>
    <w:rsid w:val="00FE4C7B"/>
    <w:rsid w:val="00FE4EA3"/>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09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D24"/>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EA7D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EA7D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EA7D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EA7D24"/>
    <w:pPr>
      <w:numPr>
        <w:ilvl w:val="3"/>
      </w:numPr>
      <w:outlineLvl w:val="3"/>
    </w:pPr>
    <w:rPr>
      <w:sz w:val="24"/>
      <w:szCs w:val="24"/>
    </w:rPr>
  </w:style>
  <w:style w:type="paragraph" w:styleId="Heading5">
    <w:name w:val="heading 5"/>
    <w:basedOn w:val="Heading4"/>
    <w:next w:val="Normal"/>
    <w:qFormat/>
    <w:rsid w:val="00EA7D24"/>
    <w:pPr>
      <w:numPr>
        <w:ilvl w:val="4"/>
      </w:numPr>
      <w:outlineLvl w:val="4"/>
    </w:pPr>
    <w:rPr>
      <w:sz w:val="22"/>
      <w:szCs w:val="22"/>
    </w:rPr>
  </w:style>
  <w:style w:type="paragraph" w:styleId="Heading6">
    <w:name w:val="heading 6"/>
    <w:basedOn w:val="Normal"/>
    <w:next w:val="Normal"/>
    <w:qFormat/>
    <w:rsid w:val="00EA7D24"/>
    <w:pPr>
      <w:keepNext/>
      <w:keepLines/>
      <w:numPr>
        <w:ilvl w:val="5"/>
        <w:numId w:val="1"/>
      </w:numPr>
      <w:spacing w:before="120"/>
      <w:outlineLvl w:val="5"/>
    </w:pPr>
    <w:rPr>
      <w:rFonts w:cs="Arial"/>
    </w:rPr>
  </w:style>
  <w:style w:type="paragraph" w:styleId="Heading7">
    <w:name w:val="heading 7"/>
    <w:basedOn w:val="Normal"/>
    <w:next w:val="Normal"/>
    <w:qFormat/>
    <w:rsid w:val="00EA7D24"/>
    <w:pPr>
      <w:keepNext/>
      <w:keepLines/>
      <w:numPr>
        <w:ilvl w:val="6"/>
        <w:numId w:val="1"/>
      </w:numPr>
      <w:spacing w:before="120"/>
      <w:outlineLvl w:val="6"/>
    </w:pPr>
    <w:rPr>
      <w:rFonts w:cs="Arial"/>
    </w:rPr>
  </w:style>
  <w:style w:type="paragraph" w:styleId="Heading8">
    <w:name w:val="heading 8"/>
    <w:basedOn w:val="Heading7"/>
    <w:next w:val="Normal"/>
    <w:qFormat/>
    <w:rsid w:val="00EA7D24"/>
    <w:pPr>
      <w:numPr>
        <w:ilvl w:val="7"/>
      </w:numPr>
      <w:outlineLvl w:val="7"/>
    </w:pPr>
  </w:style>
  <w:style w:type="paragraph" w:styleId="Heading9">
    <w:name w:val="heading 9"/>
    <w:basedOn w:val="Heading8"/>
    <w:next w:val="Normal"/>
    <w:qFormat/>
    <w:rsid w:val="00EA7D24"/>
    <w:pPr>
      <w:numPr>
        <w:ilvl w:val="8"/>
      </w:numPr>
      <w:outlineLvl w:val="8"/>
    </w:pPr>
  </w:style>
  <w:style w:type="character" w:default="1" w:styleId="DefaultParagraphFont">
    <w:name w:val="Default Paragraph Font"/>
    <w:semiHidden/>
    <w:rsid w:val="00EA7D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A7D24"/>
  </w:style>
  <w:style w:type="paragraph" w:styleId="TOC8">
    <w:name w:val="toc 8"/>
    <w:basedOn w:val="TOC1"/>
    <w:semiHidden/>
    <w:rsid w:val="00EA7D24"/>
    <w:pPr>
      <w:spacing w:before="180"/>
      <w:ind w:left="2693" w:hanging="2693"/>
    </w:pPr>
    <w:rPr>
      <w:b w:val="0"/>
      <w:bCs/>
    </w:rPr>
  </w:style>
  <w:style w:type="paragraph" w:styleId="TOC1">
    <w:name w:val="toc 1"/>
    <w:aliases w:val="Observation TOC2"/>
    <w:uiPriority w:val="39"/>
    <w:rsid w:val="00EA7D2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EA7D24"/>
    <w:pPr>
      <w:keepNext/>
      <w:keepLines/>
      <w:spacing w:before="180"/>
      <w:jc w:val="center"/>
    </w:pPr>
  </w:style>
  <w:style w:type="paragraph" w:styleId="Caption">
    <w:name w:val="caption"/>
    <w:basedOn w:val="Normal"/>
    <w:next w:val="Normal"/>
    <w:qFormat/>
    <w:rsid w:val="00EA7D24"/>
    <w:pPr>
      <w:spacing w:after="240"/>
      <w:jc w:val="center"/>
    </w:pPr>
    <w:rPr>
      <w:b/>
      <w:bCs/>
    </w:rPr>
  </w:style>
  <w:style w:type="paragraph" w:styleId="TOC5">
    <w:name w:val="toc 5"/>
    <w:aliases w:val="Observation TOC"/>
    <w:basedOn w:val="TOC4"/>
    <w:semiHidden/>
    <w:rsid w:val="00EA7D24"/>
    <w:pPr>
      <w:tabs>
        <w:tab w:val="right" w:pos="1701"/>
      </w:tabs>
      <w:ind w:left="1701" w:hanging="1701"/>
    </w:pPr>
  </w:style>
  <w:style w:type="paragraph" w:styleId="TOC4">
    <w:name w:val="toc 4"/>
    <w:basedOn w:val="TOC3"/>
    <w:semiHidden/>
    <w:rsid w:val="00EA7D24"/>
    <w:pPr>
      <w:ind w:left="1418" w:hanging="1418"/>
    </w:pPr>
  </w:style>
  <w:style w:type="paragraph" w:styleId="TOC3">
    <w:name w:val="toc 3"/>
    <w:basedOn w:val="TOC2"/>
    <w:semiHidden/>
    <w:rsid w:val="00EA7D24"/>
    <w:pPr>
      <w:ind w:left="1134" w:hanging="1134"/>
    </w:pPr>
  </w:style>
  <w:style w:type="paragraph" w:styleId="TOC2">
    <w:name w:val="toc 2"/>
    <w:basedOn w:val="TOC1"/>
    <w:semiHidden/>
    <w:rsid w:val="00EA7D24"/>
    <w:pPr>
      <w:keepNext w:val="0"/>
      <w:spacing w:before="0"/>
      <w:ind w:left="851" w:hanging="851"/>
    </w:pPr>
    <w:rPr>
      <w:szCs w:val="20"/>
    </w:rPr>
  </w:style>
  <w:style w:type="paragraph" w:styleId="Index2">
    <w:name w:val="index 2"/>
    <w:basedOn w:val="Index1"/>
    <w:semiHidden/>
    <w:rsid w:val="00EA7D24"/>
    <w:pPr>
      <w:ind w:left="284"/>
    </w:pPr>
  </w:style>
  <w:style w:type="paragraph" w:styleId="Index1">
    <w:name w:val="index 1"/>
    <w:basedOn w:val="Normal"/>
    <w:semiHidden/>
    <w:rsid w:val="00EA7D24"/>
    <w:pPr>
      <w:keepLines/>
      <w:spacing w:after="0"/>
    </w:pPr>
  </w:style>
  <w:style w:type="paragraph" w:styleId="DocumentMap">
    <w:name w:val="Document Map"/>
    <w:basedOn w:val="Normal"/>
    <w:semiHidden/>
    <w:rsid w:val="00EA7D24"/>
    <w:pPr>
      <w:shd w:val="clear" w:color="auto" w:fill="000080"/>
    </w:pPr>
    <w:rPr>
      <w:rFonts w:ascii="Tahoma" w:hAnsi="Tahoma" w:cs="Tahoma"/>
    </w:rPr>
  </w:style>
  <w:style w:type="paragraph" w:styleId="ListNumber2">
    <w:name w:val="List Number 2"/>
    <w:basedOn w:val="ListNumber"/>
    <w:rsid w:val="00EA7D24"/>
    <w:pPr>
      <w:ind w:left="851"/>
    </w:pPr>
  </w:style>
  <w:style w:type="paragraph" w:styleId="ListNumber">
    <w:name w:val="List Number"/>
    <w:basedOn w:val="List"/>
    <w:rsid w:val="00EA7D24"/>
  </w:style>
  <w:style w:type="paragraph" w:styleId="List">
    <w:name w:val="List"/>
    <w:basedOn w:val="Normal"/>
    <w:rsid w:val="00EA7D24"/>
    <w:pPr>
      <w:ind w:left="568" w:hanging="284"/>
    </w:pPr>
  </w:style>
  <w:style w:type="paragraph" w:styleId="Header">
    <w:name w:val="header"/>
    <w:rsid w:val="00EA7D24"/>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EA7D24"/>
    <w:rPr>
      <w:b/>
      <w:bCs/>
      <w:position w:val="6"/>
      <w:sz w:val="16"/>
      <w:szCs w:val="16"/>
    </w:rPr>
  </w:style>
  <w:style w:type="paragraph" w:styleId="FootnoteText">
    <w:name w:val="footnote text"/>
    <w:basedOn w:val="Normal"/>
    <w:semiHidden/>
    <w:rsid w:val="00EA7D24"/>
    <w:pPr>
      <w:keepLines/>
      <w:spacing w:after="0"/>
      <w:ind w:left="454" w:hanging="454"/>
    </w:pPr>
    <w:rPr>
      <w:sz w:val="16"/>
      <w:szCs w:val="16"/>
    </w:rPr>
  </w:style>
  <w:style w:type="paragraph" w:customStyle="1" w:styleId="3GPPHeader">
    <w:name w:val="3GPP_Header"/>
    <w:basedOn w:val="Normal"/>
    <w:rsid w:val="00EA7D24"/>
    <w:pPr>
      <w:tabs>
        <w:tab w:val="left" w:pos="1701"/>
        <w:tab w:val="right" w:pos="9639"/>
      </w:tabs>
      <w:spacing w:after="240"/>
    </w:pPr>
    <w:rPr>
      <w:b/>
      <w:sz w:val="24"/>
    </w:rPr>
  </w:style>
  <w:style w:type="paragraph" w:styleId="TOC9">
    <w:name w:val="toc 9"/>
    <w:basedOn w:val="TOC8"/>
    <w:semiHidden/>
    <w:rsid w:val="00EA7D24"/>
    <w:pPr>
      <w:ind w:left="1418" w:hanging="1418"/>
    </w:pPr>
  </w:style>
  <w:style w:type="paragraph" w:styleId="TOC6">
    <w:name w:val="toc 6"/>
    <w:basedOn w:val="TOC5"/>
    <w:next w:val="Normal"/>
    <w:semiHidden/>
    <w:rsid w:val="00EA7D24"/>
    <w:pPr>
      <w:ind w:left="1985" w:hanging="1985"/>
    </w:pPr>
  </w:style>
  <w:style w:type="paragraph" w:styleId="TOC7">
    <w:name w:val="toc 7"/>
    <w:basedOn w:val="TOC6"/>
    <w:next w:val="Normal"/>
    <w:semiHidden/>
    <w:rsid w:val="00EA7D24"/>
    <w:pPr>
      <w:ind w:left="2268" w:hanging="2268"/>
    </w:pPr>
  </w:style>
  <w:style w:type="paragraph" w:styleId="ListBullet2">
    <w:name w:val="List Bullet 2"/>
    <w:basedOn w:val="ListBullet"/>
    <w:rsid w:val="00EA7D24"/>
    <w:pPr>
      <w:numPr>
        <w:numId w:val="6"/>
      </w:numPr>
    </w:pPr>
  </w:style>
  <w:style w:type="paragraph" w:styleId="ListBullet">
    <w:name w:val="List Bullet"/>
    <w:basedOn w:val="BodyText"/>
    <w:rsid w:val="00EA7D24"/>
    <w:pPr>
      <w:numPr>
        <w:numId w:val="5"/>
      </w:numPr>
    </w:pPr>
  </w:style>
  <w:style w:type="paragraph" w:styleId="ListBullet3">
    <w:name w:val="List Bullet 3"/>
    <w:basedOn w:val="ListBullet2"/>
    <w:rsid w:val="00EA7D24"/>
    <w:pPr>
      <w:numPr>
        <w:numId w:val="7"/>
      </w:numPr>
    </w:pPr>
  </w:style>
  <w:style w:type="paragraph" w:customStyle="1" w:styleId="EQ">
    <w:name w:val="EQ"/>
    <w:basedOn w:val="Normal"/>
    <w:next w:val="Normal"/>
    <w:rsid w:val="00EA7D24"/>
    <w:pPr>
      <w:keepLines/>
      <w:tabs>
        <w:tab w:val="center" w:pos="4536"/>
        <w:tab w:val="right" w:pos="9072"/>
      </w:tabs>
      <w:spacing w:after="180"/>
      <w:jc w:val="left"/>
    </w:pPr>
    <w:rPr>
      <w:noProof/>
      <w:lang w:eastAsia="en-US"/>
    </w:rPr>
  </w:style>
  <w:style w:type="paragraph" w:styleId="List2">
    <w:name w:val="List 2"/>
    <w:basedOn w:val="List"/>
    <w:rsid w:val="00EA7D24"/>
    <w:pPr>
      <w:ind w:left="851"/>
    </w:pPr>
  </w:style>
  <w:style w:type="paragraph" w:styleId="List3">
    <w:name w:val="List 3"/>
    <w:basedOn w:val="List2"/>
    <w:rsid w:val="00EA7D24"/>
    <w:pPr>
      <w:ind w:left="1135"/>
    </w:pPr>
  </w:style>
  <w:style w:type="paragraph" w:styleId="List4">
    <w:name w:val="List 4"/>
    <w:basedOn w:val="List3"/>
    <w:rsid w:val="00EA7D24"/>
    <w:pPr>
      <w:ind w:left="1418"/>
    </w:pPr>
  </w:style>
  <w:style w:type="paragraph" w:styleId="List5">
    <w:name w:val="List 5"/>
    <w:basedOn w:val="List4"/>
    <w:rsid w:val="00EA7D24"/>
    <w:pPr>
      <w:ind w:left="1702"/>
    </w:pPr>
  </w:style>
  <w:style w:type="paragraph" w:customStyle="1" w:styleId="EditorsNote">
    <w:name w:val="Editor's Note"/>
    <w:basedOn w:val="Normal"/>
    <w:rsid w:val="00EA7D24"/>
    <w:pPr>
      <w:keepLines/>
      <w:spacing w:after="180"/>
      <w:ind w:left="1135" w:hanging="851"/>
      <w:jc w:val="left"/>
    </w:pPr>
    <w:rPr>
      <w:color w:val="FF0000"/>
      <w:lang w:eastAsia="en-US"/>
    </w:rPr>
  </w:style>
  <w:style w:type="paragraph" w:styleId="ListBullet4">
    <w:name w:val="List Bullet 4"/>
    <w:basedOn w:val="ListBullet3"/>
    <w:rsid w:val="00EA7D24"/>
    <w:pPr>
      <w:numPr>
        <w:numId w:val="8"/>
      </w:numPr>
    </w:pPr>
  </w:style>
  <w:style w:type="paragraph" w:styleId="ListBullet5">
    <w:name w:val="List Bullet 5"/>
    <w:basedOn w:val="ListBullet4"/>
    <w:rsid w:val="00EA7D24"/>
    <w:pPr>
      <w:numPr>
        <w:numId w:val="4"/>
      </w:numPr>
    </w:pPr>
  </w:style>
  <w:style w:type="paragraph" w:styleId="Footer">
    <w:name w:val="footer"/>
    <w:basedOn w:val="Header"/>
    <w:semiHidden/>
    <w:rsid w:val="00EA7D24"/>
    <w:pPr>
      <w:jc w:val="center"/>
    </w:pPr>
    <w:rPr>
      <w:i/>
      <w:iCs/>
    </w:rPr>
  </w:style>
  <w:style w:type="paragraph" w:customStyle="1" w:styleId="Reference">
    <w:name w:val="Reference"/>
    <w:basedOn w:val="Normal"/>
    <w:link w:val="ReferenceChar"/>
    <w:rsid w:val="00EA7D24"/>
    <w:pPr>
      <w:numPr>
        <w:numId w:val="2"/>
      </w:numPr>
    </w:pPr>
  </w:style>
  <w:style w:type="paragraph" w:styleId="BalloonText">
    <w:name w:val="Balloon Text"/>
    <w:basedOn w:val="Normal"/>
    <w:semiHidden/>
    <w:rsid w:val="00EA7D24"/>
    <w:rPr>
      <w:rFonts w:ascii="Tahoma" w:hAnsi="Tahoma" w:cs="Tahoma"/>
      <w:sz w:val="16"/>
      <w:szCs w:val="16"/>
    </w:rPr>
  </w:style>
  <w:style w:type="character" w:styleId="PageNumber">
    <w:name w:val="page number"/>
    <w:basedOn w:val="DefaultParagraphFont"/>
    <w:semiHidden/>
    <w:rsid w:val="00EA7D24"/>
  </w:style>
  <w:style w:type="paragraph" w:styleId="BodyText">
    <w:name w:val="Body Text"/>
    <w:basedOn w:val="Normal"/>
    <w:link w:val="BodyTextChar"/>
    <w:rsid w:val="00EA7D24"/>
  </w:style>
  <w:style w:type="character" w:styleId="Hyperlink">
    <w:name w:val="Hyperlink"/>
    <w:uiPriority w:val="99"/>
    <w:rsid w:val="00EA7D24"/>
    <w:rPr>
      <w:color w:val="0000FF"/>
      <w:u w:val="single"/>
      <w:lang w:val="en-GB"/>
    </w:rPr>
  </w:style>
  <w:style w:type="character" w:styleId="FollowedHyperlink">
    <w:name w:val="FollowedHyperlink"/>
    <w:semiHidden/>
    <w:rsid w:val="00EA7D24"/>
    <w:rPr>
      <w:color w:val="FF0000"/>
      <w:u w:val="single"/>
    </w:rPr>
  </w:style>
  <w:style w:type="character" w:styleId="CommentReference">
    <w:name w:val="annotation reference"/>
    <w:semiHidden/>
    <w:rsid w:val="00EA7D24"/>
    <w:rPr>
      <w:sz w:val="16"/>
      <w:szCs w:val="16"/>
    </w:rPr>
  </w:style>
  <w:style w:type="paragraph" w:styleId="CommentText">
    <w:name w:val="annotation text"/>
    <w:basedOn w:val="Normal"/>
    <w:link w:val="CommentTextChar"/>
    <w:rsid w:val="00EA7D24"/>
  </w:style>
  <w:style w:type="paragraph" w:styleId="CommentSubject">
    <w:name w:val="annotation subject"/>
    <w:basedOn w:val="CommentText"/>
    <w:next w:val="CommentText"/>
    <w:semiHidden/>
    <w:rsid w:val="00EA7D24"/>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A7D24"/>
    <w:rPr>
      <w:rFonts w:ascii="Arial" w:hAnsi="Arial" w:cs="Arial"/>
      <w:sz w:val="36"/>
      <w:szCs w:val="36"/>
      <w:lang w:eastAsia="zh-CN"/>
    </w:rPr>
  </w:style>
  <w:style w:type="paragraph" w:customStyle="1" w:styleId="B1">
    <w:name w:val="B1"/>
    <w:basedOn w:val="List"/>
    <w:link w:val="B1Zchn"/>
    <w:rsid w:val="00EA7D24"/>
    <w:pPr>
      <w:spacing w:after="180"/>
      <w:jc w:val="left"/>
    </w:pPr>
    <w:rPr>
      <w:lang w:eastAsia="en-US"/>
    </w:rPr>
  </w:style>
  <w:style w:type="paragraph" w:customStyle="1" w:styleId="B2">
    <w:name w:val="B2"/>
    <w:basedOn w:val="List2"/>
    <w:link w:val="B2Char"/>
    <w:rsid w:val="00EA7D24"/>
    <w:pPr>
      <w:spacing w:after="180"/>
      <w:jc w:val="left"/>
    </w:pPr>
    <w:rPr>
      <w:lang w:eastAsia="en-US"/>
    </w:rPr>
  </w:style>
  <w:style w:type="paragraph" w:customStyle="1" w:styleId="B3">
    <w:name w:val="B3"/>
    <w:basedOn w:val="List3"/>
    <w:rsid w:val="00EA7D24"/>
    <w:pPr>
      <w:spacing w:after="180"/>
      <w:jc w:val="left"/>
    </w:pPr>
    <w:rPr>
      <w:lang w:eastAsia="en-US"/>
    </w:rPr>
  </w:style>
  <w:style w:type="paragraph" w:customStyle="1" w:styleId="B4">
    <w:name w:val="B4"/>
    <w:basedOn w:val="List4"/>
    <w:rsid w:val="00EA7D24"/>
    <w:pPr>
      <w:spacing w:after="180"/>
      <w:jc w:val="left"/>
    </w:pPr>
    <w:rPr>
      <w:lang w:eastAsia="en-US"/>
    </w:rPr>
  </w:style>
  <w:style w:type="paragraph" w:customStyle="1" w:styleId="Proposal">
    <w:name w:val="Proposal"/>
    <w:basedOn w:val="Normal"/>
    <w:rsid w:val="00EA7D24"/>
    <w:pPr>
      <w:numPr>
        <w:numId w:val="3"/>
      </w:numPr>
      <w:tabs>
        <w:tab w:val="clear" w:pos="1304"/>
        <w:tab w:val="left" w:pos="1701"/>
      </w:tabs>
      <w:ind w:left="1701" w:hanging="1701"/>
    </w:pPr>
    <w:rPr>
      <w:b/>
      <w:bCs/>
    </w:rPr>
  </w:style>
  <w:style w:type="character" w:customStyle="1" w:styleId="BodyTextChar">
    <w:name w:val="Body Text Char"/>
    <w:link w:val="BodyText"/>
    <w:rsid w:val="00EA7D24"/>
    <w:rPr>
      <w:rFonts w:ascii="Arial" w:hAnsi="Arial"/>
      <w:lang w:eastAsia="zh-CN"/>
    </w:rPr>
  </w:style>
  <w:style w:type="paragraph" w:customStyle="1" w:styleId="B5">
    <w:name w:val="B5"/>
    <w:basedOn w:val="List5"/>
    <w:rsid w:val="00EA7D24"/>
    <w:pPr>
      <w:spacing w:after="180"/>
      <w:jc w:val="left"/>
    </w:pPr>
    <w:rPr>
      <w:lang w:eastAsia="en-US"/>
    </w:rPr>
  </w:style>
  <w:style w:type="paragraph" w:customStyle="1" w:styleId="EX">
    <w:name w:val="EX"/>
    <w:basedOn w:val="Normal"/>
    <w:rsid w:val="00EA7D24"/>
    <w:pPr>
      <w:keepLines/>
      <w:spacing w:after="180"/>
      <w:ind w:left="1702" w:hanging="1418"/>
      <w:jc w:val="left"/>
    </w:pPr>
    <w:rPr>
      <w:lang w:eastAsia="en-US"/>
    </w:rPr>
  </w:style>
  <w:style w:type="paragraph" w:customStyle="1" w:styleId="EW">
    <w:name w:val="EW"/>
    <w:basedOn w:val="EX"/>
    <w:rsid w:val="00EA7D24"/>
    <w:pPr>
      <w:spacing w:after="0"/>
    </w:pPr>
  </w:style>
  <w:style w:type="paragraph" w:customStyle="1" w:styleId="TAL">
    <w:name w:val="TAL"/>
    <w:basedOn w:val="Normal"/>
    <w:rsid w:val="00EA7D24"/>
    <w:pPr>
      <w:keepNext/>
      <w:keepLines/>
      <w:spacing w:after="0"/>
      <w:jc w:val="left"/>
    </w:pPr>
    <w:rPr>
      <w:sz w:val="18"/>
      <w:lang w:eastAsia="en-US"/>
    </w:rPr>
  </w:style>
  <w:style w:type="paragraph" w:customStyle="1" w:styleId="TAC">
    <w:name w:val="TAC"/>
    <w:basedOn w:val="TAL"/>
    <w:rsid w:val="00EA7D24"/>
    <w:pPr>
      <w:jc w:val="center"/>
    </w:pPr>
  </w:style>
  <w:style w:type="paragraph" w:customStyle="1" w:styleId="TAH">
    <w:name w:val="TAH"/>
    <w:basedOn w:val="TAC"/>
    <w:rsid w:val="00EA7D24"/>
    <w:rPr>
      <w:b/>
    </w:rPr>
  </w:style>
  <w:style w:type="paragraph" w:customStyle="1" w:styleId="TAN">
    <w:name w:val="TAN"/>
    <w:basedOn w:val="TAL"/>
    <w:rsid w:val="00EA7D24"/>
    <w:pPr>
      <w:ind w:left="851" w:hanging="851"/>
    </w:pPr>
  </w:style>
  <w:style w:type="paragraph" w:customStyle="1" w:styleId="TAR">
    <w:name w:val="TAR"/>
    <w:basedOn w:val="TAL"/>
    <w:rsid w:val="00EA7D24"/>
    <w:pPr>
      <w:jc w:val="right"/>
    </w:pPr>
  </w:style>
  <w:style w:type="paragraph" w:customStyle="1" w:styleId="TH">
    <w:name w:val="TH"/>
    <w:basedOn w:val="Normal"/>
    <w:link w:val="THChar"/>
    <w:rsid w:val="00EA7D24"/>
    <w:pPr>
      <w:keepNext/>
      <w:keepLines/>
      <w:spacing w:before="60" w:after="180"/>
      <w:jc w:val="center"/>
    </w:pPr>
    <w:rPr>
      <w:b/>
      <w:lang w:eastAsia="en-US"/>
    </w:rPr>
  </w:style>
  <w:style w:type="paragraph" w:customStyle="1" w:styleId="TF">
    <w:name w:val="TF"/>
    <w:aliases w:val="left"/>
    <w:basedOn w:val="TH"/>
    <w:link w:val="TFChar"/>
    <w:rsid w:val="00EA7D24"/>
    <w:pPr>
      <w:keepNext w:val="0"/>
      <w:spacing w:before="0" w:after="240"/>
    </w:pPr>
  </w:style>
  <w:style w:type="paragraph" w:customStyle="1" w:styleId="TT">
    <w:name w:val="TT"/>
    <w:basedOn w:val="Heading1"/>
    <w:next w:val="Normal"/>
    <w:rsid w:val="00EA7D24"/>
    <w:pPr>
      <w:numPr>
        <w:numId w:val="0"/>
      </w:numPr>
      <w:ind w:left="1134" w:hanging="1134"/>
      <w:outlineLvl w:val="9"/>
    </w:pPr>
    <w:rPr>
      <w:rFonts w:cs="Times New Roman"/>
      <w:szCs w:val="20"/>
      <w:lang w:eastAsia="en-US"/>
    </w:rPr>
  </w:style>
  <w:style w:type="paragraph" w:customStyle="1" w:styleId="ZA">
    <w:name w:val="ZA"/>
    <w:rsid w:val="00EA7D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A7D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A7D2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EA7D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EA7D24"/>
  </w:style>
  <w:style w:type="paragraph" w:customStyle="1" w:styleId="ZH">
    <w:name w:val="ZH"/>
    <w:rsid w:val="00EA7D2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EA7D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EA7D24"/>
    <w:pPr>
      <w:framePr w:hRule="auto" w:wrap="notBeside" w:y="852"/>
    </w:pPr>
    <w:rPr>
      <w:i w:val="0"/>
      <w:sz w:val="40"/>
    </w:rPr>
  </w:style>
  <w:style w:type="paragraph" w:customStyle="1" w:styleId="ZU">
    <w:name w:val="ZU"/>
    <w:rsid w:val="00EA7D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A7D24"/>
    <w:pPr>
      <w:framePr w:wrap="notBeside" w:y="16161"/>
    </w:pPr>
  </w:style>
  <w:style w:type="paragraph" w:customStyle="1" w:styleId="FP">
    <w:name w:val="FP"/>
    <w:basedOn w:val="Normal"/>
    <w:rsid w:val="00EA7D24"/>
    <w:pPr>
      <w:spacing w:after="0"/>
      <w:jc w:val="left"/>
    </w:pPr>
    <w:rPr>
      <w:lang w:eastAsia="en-US"/>
    </w:rPr>
  </w:style>
  <w:style w:type="paragraph" w:customStyle="1" w:styleId="Observation">
    <w:name w:val="Observation"/>
    <w:basedOn w:val="Proposal"/>
    <w:qFormat/>
    <w:rsid w:val="00EA7D24"/>
    <w:pPr>
      <w:numPr>
        <w:numId w:val="9"/>
      </w:numPr>
      <w:ind w:left="1701" w:hanging="1701"/>
    </w:pPr>
  </w:style>
  <w:style w:type="paragraph" w:styleId="TableofFigures">
    <w:name w:val="table of figures"/>
    <w:basedOn w:val="Normal"/>
    <w:next w:val="Normal"/>
    <w:uiPriority w:val="99"/>
    <w:rsid w:val="00EA7D24"/>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customStyle="1" w:styleId="NO">
    <w:name w:val="NO"/>
    <w:basedOn w:val="Normal"/>
    <w:rsid w:val="006F6A70"/>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paragraph" w:customStyle="1" w:styleId="ZchnZchn">
    <w:name w:val="Zchn Zchn"/>
    <w:semiHidden/>
    <w:rsid w:val="006F6A70"/>
    <w:pPr>
      <w:keepNext/>
      <w:numPr>
        <w:numId w:val="2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0">
    <w:name w:val="Zchn Zchn"/>
    <w:semiHidden/>
    <w:rsid w:val="008571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semiHidden/>
    <w:unhideWhenUsed/>
    <w:rsid w:val="00FA233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D24"/>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EA7D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EA7D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EA7D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EA7D24"/>
    <w:pPr>
      <w:numPr>
        <w:ilvl w:val="3"/>
      </w:numPr>
      <w:outlineLvl w:val="3"/>
    </w:pPr>
    <w:rPr>
      <w:sz w:val="24"/>
      <w:szCs w:val="24"/>
    </w:rPr>
  </w:style>
  <w:style w:type="paragraph" w:styleId="Heading5">
    <w:name w:val="heading 5"/>
    <w:basedOn w:val="Heading4"/>
    <w:next w:val="Normal"/>
    <w:qFormat/>
    <w:rsid w:val="00EA7D24"/>
    <w:pPr>
      <w:numPr>
        <w:ilvl w:val="4"/>
      </w:numPr>
      <w:outlineLvl w:val="4"/>
    </w:pPr>
    <w:rPr>
      <w:sz w:val="22"/>
      <w:szCs w:val="22"/>
    </w:rPr>
  </w:style>
  <w:style w:type="paragraph" w:styleId="Heading6">
    <w:name w:val="heading 6"/>
    <w:basedOn w:val="Normal"/>
    <w:next w:val="Normal"/>
    <w:qFormat/>
    <w:rsid w:val="00EA7D24"/>
    <w:pPr>
      <w:keepNext/>
      <w:keepLines/>
      <w:numPr>
        <w:ilvl w:val="5"/>
        <w:numId w:val="1"/>
      </w:numPr>
      <w:spacing w:before="120"/>
      <w:outlineLvl w:val="5"/>
    </w:pPr>
    <w:rPr>
      <w:rFonts w:cs="Arial"/>
    </w:rPr>
  </w:style>
  <w:style w:type="paragraph" w:styleId="Heading7">
    <w:name w:val="heading 7"/>
    <w:basedOn w:val="Normal"/>
    <w:next w:val="Normal"/>
    <w:qFormat/>
    <w:rsid w:val="00EA7D24"/>
    <w:pPr>
      <w:keepNext/>
      <w:keepLines/>
      <w:numPr>
        <w:ilvl w:val="6"/>
        <w:numId w:val="1"/>
      </w:numPr>
      <w:spacing w:before="120"/>
      <w:outlineLvl w:val="6"/>
    </w:pPr>
    <w:rPr>
      <w:rFonts w:cs="Arial"/>
    </w:rPr>
  </w:style>
  <w:style w:type="paragraph" w:styleId="Heading8">
    <w:name w:val="heading 8"/>
    <w:basedOn w:val="Heading7"/>
    <w:next w:val="Normal"/>
    <w:qFormat/>
    <w:rsid w:val="00EA7D24"/>
    <w:pPr>
      <w:numPr>
        <w:ilvl w:val="7"/>
      </w:numPr>
      <w:outlineLvl w:val="7"/>
    </w:pPr>
  </w:style>
  <w:style w:type="paragraph" w:styleId="Heading9">
    <w:name w:val="heading 9"/>
    <w:basedOn w:val="Heading8"/>
    <w:next w:val="Normal"/>
    <w:qFormat/>
    <w:rsid w:val="00EA7D24"/>
    <w:pPr>
      <w:numPr>
        <w:ilvl w:val="8"/>
      </w:numPr>
      <w:outlineLvl w:val="8"/>
    </w:pPr>
  </w:style>
  <w:style w:type="character" w:default="1" w:styleId="DefaultParagraphFont">
    <w:name w:val="Default Paragraph Font"/>
    <w:semiHidden/>
    <w:rsid w:val="00EA7D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A7D24"/>
  </w:style>
  <w:style w:type="paragraph" w:styleId="TOC8">
    <w:name w:val="toc 8"/>
    <w:basedOn w:val="TOC1"/>
    <w:semiHidden/>
    <w:rsid w:val="00EA7D24"/>
    <w:pPr>
      <w:spacing w:before="180"/>
      <w:ind w:left="2693" w:hanging="2693"/>
    </w:pPr>
    <w:rPr>
      <w:b w:val="0"/>
      <w:bCs/>
    </w:rPr>
  </w:style>
  <w:style w:type="paragraph" w:styleId="TOC1">
    <w:name w:val="toc 1"/>
    <w:aliases w:val="Observation TOC2"/>
    <w:uiPriority w:val="39"/>
    <w:rsid w:val="00EA7D2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EA7D24"/>
    <w:pPr>
      <w:keepNext/>
      <w:keepLines/>
      <w:spacing w:before="180"/>
      <w:jc w:val="center"/>
    </w:pPr>
  </w:style>
  <w:style w:type="paragraph" w:styleId="Caption">
    <w:name w:val="caption"/>
    <w:basedOn w:val="Normal"/>
    <w:next w:val="Normal"/>
    <w:qFormat/>
    <w:rsid w:val="00EA7D24"/>
    <w:pPr>
      <w:spacing w:after="240"/>
      <w:jc w:val="center"/>
    </w:pPr>
    <w:rPr>
      <w:b/>
      <w:bCs/>
    </w:rPr>
  </w:style>
  <w:style w:type="paragraph" w:styleId="TOC5">
    <w:name w:val="toc 5"/>
    <w:aliases w:val="Observation TOC"/>
    <w:basedOn w:val="TOC4"/>
    <w:semiHidden/>
    <w:rsid w:val="00EA7D24"/>
    <w:pPr>
      <w:tabs>
        <w:tab w:val="right" w:pos="1701"/>
      </w:tabs>
      <w:ind w:left="1701" w:hanging="1701"/>
    </w:pPr>
  </w:style>
  <w:style w:type="paragraph" w:styleId="TOC4">
    <w:name w:val="toc 4"/>
    <w:basedOn w:val="TOC3"/>
    <w:semiHidden/>
    <w:rsid w:val="00EA7D24"/>
    <w:pPr>
      <w:ind w:left="1418" w:hanging="1418"/>
    </w:pPr>
  </w:style>
  <w:style w:type="paragraph" w:styleId="TOC3">
    <w:name w:val="toc 3"/>
    <w:basedOn w:val="TOC2"/>
    <w:semiHidden/>
    <w:rsid w:val="00EA7D24"/>
    <w:pPr>
      <w:ind w:left="1134" w:hanging="1134"/>
    </w:pPr>
  </w:style>
  <w:style w:type="paragraph" w:styleId="TOC2">
    <w:name w:val="toc 2"/>
    <w:basedOn w:val="TOC1"/>
    <w:semiHidden/>
    <w:rsid w:val="00EA7D24"/>
    <w:pPr>
      <w:keepNext w:val="0"/>
      <w:spacing w:before="0"/>
      <w:ind w:left="851" w:hanging="851"/>
    </w:pPr>
    <w:rPr>
      <w:szCs w:val="20"/>
    </w:rPr>
  </w:style>
  <w:style w:type="paragraph" w:styleId="Index2">
    <w:name w:val="index 2"/>
    <w:basedOn w:val="Index1"/>
    <w:semiHidden/>
    <w:rsid w:val="00EA7D24"/>
    <w:pPr>
      <w:ind w:left="284"/>
    </w:pPr>
  </w:style>
  <w:style w:type="paragraph" w:styleId="Index1">
    <w:name w:val="index 1"/>
    <w:basedOn w:val="Normal"/>
    <w:semiHidden/>
    <w:rsid w:val="00EA7D24"/>
    <w:pPr>
      <w:keepLines/>
      <w:spacing w:after="0"/>
    </w:pPr>
  </w:style>
  <w:style w:type="paragraph" w:styleId="DocumentMap">
    <w:name w:val="Document Map"/>
    <w:basedOn w:val="Normal"/>
    <w:semiHidden/>
    <w:rsid w:val="00EA7D24"/>
    <w:pPr>
      <w:shd w:val="clear" w:color="auto" w:fill="000080"/>
    </w:pPr>
    <w:rPr>
      <w:rFonts w:ascii="Tahoma" w:hAnsi="Tahoma" w:cs="Tahoma"/>
    </w:rPr>
  </w:style>
  <w:style w:type="paragraph" w:styleId="ListNumber2">
    <w:name w:val="List Number 2"/>
    <w:basedOn w:val="ListNumber"/>
    <w:rsid w:val="00EA7D24"/>
    <w:pPr>
      <w:ind w:left="851"/>
    </w:pPr>
  </w:style>
  <w:style w:type="paragraph" w:styleId="ListNumber">
    <w:name w:val="List Number"/>
    <w:basedOn w:val="List"/>
    <w:rsid w:val="00EA7D24"/>
  </w:style>
  <w:style w:type="paragraph" w:styleId="List">
    <w:name w:val="List"/>
    <w:basedOn w:val="Normal"/>
    <w:rsid w:val="00EA7D24"/>
    <w:pPr>
      <w:ind w:left="568" w:hanging="284"/>
    </w:pPr>
  </w:style>
  <w:style w:type="paragraph" w:styleId="Header">
    <w:name w:val="header"/>
    <w:rsid w:val="00EA7D24"/>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EA7D24"/>
    <w:rPr>
      <w:b/>
      <w:bCs/>
      <w:position w:val="6"/>
      <w:sz w:val="16"/>
      <w:szCs w:val="16"/>
    </w:rPr>
  </w:style>
  <w:style w:type="paragraph" w:styleId="FootnoteText">
    <w:name w:val="footnote text"/>
    <w:basedOn w:val="Normal"/>
    <w:semiHidden/>
    <w:rsid w:val="00EA7D24"/>
    <w:pPr>
      <w:keepLines/>
      <w:spacing w:after="0"/>
      <w:ind w:left="454" w:hanging="454"/>
    </w:pPr>
    <w:rPr>
      <w:sz w:val="16"/>
      <w:szCs w:val="16"/>
    </w:rPr>
  </w:style>
  <w:style w:type="paragraph" w:customStyle="1" w:styleId="3GPPHeader">
    <w:name w:val="3GPP_Header"/>
    <w:basedOn w:val="Normal"/>
    <w:rsid w:val="00EA7D24"/>
    <w:pPr>
      <w:tabs>
        <w:tab w:val="left" w:pos="1701"/>
        <w:tab w:val="right" w:pos="9639"/>
      </w:tabs>
      <w:spacing w:after="240"/>
    </w:pPr>
    <w:rPr>
      <w:b/>
      <w:sz w:val="24"/>
    </w:rPr>
  </w:style>
  <w:style w:type="paragraph" w:styleId="TOC9">
    <w:name w:val="toc 9"/>
    <w:basedOn w:val="TOC8"/>
    <w:semiHidden/>
    <w:rsid w:val="00EA7D24"/>
    <w:pPr>
      <w:ind w:left="1418" w:hanging="1418"/>
    </w:pPr>
  </w:style>
  <w:style w:type="paragraph" w:styleId="TOC6">
    <w:name w:val="toc 6"/>
    <w:basedOn w:val="TOC5"/>
    <w:next w:val="Normal"/>
    <w:semiHidden/>
    <w:rsid w:val="00EA7D24"/>
    <w:pPr>
      <w:ind w:left="1985" w:hanging="1985"/>
    </w:pPr>
  </w:style>
  <w:style w:type="paragraph" w:styleId="TOC7">
    <w:name w:val="toc 7"/>
    <w:basedOn w:val="TOC6"/>
    <w:next w:val="Normal"/>
    <w:semiHidden/>
    <w:rsid w:val="00EA7D24"/>
    <w:pPr>
      <w:ind w:left="2268" w:hanging="2268"/>
    </w:pPr>
  </w:style>
  <w:style w:type="paragraph" w:styleId="ListBullet2">
    <w:name w:val="List Bullet 2"/>
    <w:basedOn w:val="ListBullet"/>
    <w:rsid w:val="00EA7D24"/>
    <w:pPr>
      <w:numPr>
        <w:numId w:val="6"/>
      </w:numPr>
    </w:pPr>
  </w:style>
  <w:style w:type="paragraph" w:styleId="ListBullet">
    <w:name w:val="List Bullet"/>
    <w:basedOn w:val="BodyText"/>
    <w:rsid w:val="00EA7D24"/>
    <w:pPr>
      <w:numPr>
        <w:numId w:val="5"/>
      </w:numPr>
    </w:pPr>
  </w:style>
  <w:style w:type="paragraph" w:styleId="ListBullet3">
    <w:name w:val="List Bullet 3"/>
    <w:basedOn w:val="ListBullet2"/>
    <w:rsid w:val="00EA7D24"/>
    <w:pPr>
      <w:numPr>
        <w:numId w:val="7"/>
      </w:numPr>
    </w:pPr>
  </w:style>
  <w:style w:type="paragraph" w:customStyle="1" w:styleId="EQ">
    <w:name w:val="EQ"/>
    <w:basedOn w:val="Normal"/>
    <w:next w:val="Normal"/>
    <w:rsid w:val="00EA7D24"/>
    <w:pPr>
      <w:keepLines/>
      <w:tabs>
        <w:tab w:val="center" w:pos="4536"/>
        <w:tab w:val="right" w:pos="9072"/>
      </w:tabs>
      <w:spacing w:after="180"/>
      <w:jc w:val="left"/>
    </w:pPr>
    <w:rPr>
      <w:noProof/>
      <w:lang w:eastAsia="en-US"/>
    </w:rPr>
  </w:style>
  <w:style w:type="paragraph" w:styleId="List2">
    <w:name w:val="List 2"/>
    <w:basedOn w:val="List"/>
    <w:rsid w:val="00EA7D24"/>
    <w:pPr>
      <w:ind w:left="851"/>
    </w:pPr>
  </w:style>
  <w:style w:type="paragraph" w:styleId="List3">
    <w:name w:val="List 3"/>
    <w:basedOn w:val="List2"/>
    <w:rsid w:val="00EA7D24"/>
    <w:pPr>
      <w:ind w:left="1135"/>
    </w:pPr>
  </w:style>
  <w:style w:type="paragraph" w:styleId="List4">
    <w:name w:val="List 4"/>
    <w:basedOn w:val="List3"/>
    <w:rsid w:val="00EA7D24"/>
    <w:pPr>
      <w:ind w:left="1418"/>
    </w:pPr>
  </w:style>
  <w:style w:type="paragraph" w:styleId="List5">
    <w:name w:val="List 5"/>
    <w:basedOn w:val="List4"/>
    <w:rsid w:val="00EA7D24"/>
    <w:pPr>
      <w:ind w:left="1702"/>
    </w:pPr>
  </w:style>
  <w:style w:type="paragraph" w:customStyle="1" w:styleId="EditorsNote">
    <w:name w:val="Editor's Note"/>
    <w:basedOn w:val="Normal"/>
    <w:rsid w:val="00EA7D24"/>
    <w:pPr>
      <w:keepLines/>
      <w:spacing w:after="180"/>
      <w:ind w:left="1135" w:hanging="851"/>
      <w:jc w:val="left"/>
    </w:pPr>
    <w:rPr>
      <w:color w:val="FF0000"/>
      <w:lang w:eastAsia="en-US"/>
    </w:rPr>
  </w:style>
  <w:style w:type="paragraph" w:styleId="ListBullet4">
    <w:name w:val="List Bullet 4"/>
    <w:basedOn w:val="ListBullet3"/>
    <w:rsid w:val="00EA7D24"/>
    <w:pPr>
      <w:numPr>
        <w:numId w:val="8"/>
      </w:numPr>
    </w:pPr>
  </w:style>
  <w:style w:type="paragraph" w:styleId="ListBullet5">
    <w:name w:val="List Bullet 5"/>
    <w:basedOn w:val="ListBullet4"/>
    <w:rsid w:val="00EA7D24"/>
    <w:pPr>
      <w:numPr>
        <w:numId w:val="4"/>
      </w:numPr>
    </w:pPr>
  </w:style>
  <w:style w:type="paragraph" w:styleId="Footer">
    <w:name w:val="footer"/>
    <w:basedOn w:val="Header"/>
    <w:semiHidden/>
    <w:rsid w:val="00EA7D24"/>
    <w:pPr>
      <w:jc w:val="center"/>
    </w:pPr>
    <w:rPr>
      <w:i/>
      <w:iCs/>
    </w:rPr>
  </w:style>
  <w:style w:type="paragraph" w:customStyle="1" w:styleId="Reference">
    <w:name w:val="Reference"/>
    <w:basedOn w:val="Normal"/>
    <w:link w:val="ReferenceChar"/>
    <w:rsid w:val="00EA7D24"/>
    <w:pPr>
      <w:numPr>
        <w:numId w:val="2"/>
      </w:numPr>
    </w:pPr>
  </w:style>
  <w:style w:type="paragraph" w:styleId="BalloonText">
    <w:name w:val="Balloon Text"/>
    <w:basedOn w:val="Normal"/>
    <w:semiHidden/>
    <w:rsid w:val="00EA7D24"/>
    <w:rPr>
      <w:rFonts w:ascii="Tahoma" w:hAnsi="Tahoma" w:cs="Tahoma"/>
      <w:sz w:val="16"/>
      <w:szCs w:val="16"/>
    </w:rPr>
  </w:style>
  <w:style w:type="character" w:styleId="PageNumber">
    <w:name w:val="page number"/>
    <w:basedOn w:val="DefaultParagraphFont"/>
    <w:semiHidden/>
    <w:rsid w:val="00EA7D24"/>
  </w:style>
  <w:style w:type="paragraph" w:styleId="BodyText">
    <w:name w:val="Body Text"/>
    <w:basedOn w:val="Normal"/>
    <w:link w:val="BodyTextChar"/>
    <w:rsid w:val="00EA7D24"/>
  </w:style>
  <w:style w:type="character" w:styleId="Hyperlink">
    <w:name w:val="Hyperlink"/>
    <w:uiPriority w:val="99"/>
    <w:rsid w:val="00EA7D24"/>
    <w:rPr>
      <w:color w:val="0000FF"/>
      <w:u w:val="single"/>
      <w:lang w:val="en-GB"/>
    </w:rPr>
  </w:style>
  <w:style w:type="character" w:styleId="FollowedHyperlink">
    <w:name w:val="FollowedHyperlink"/>
    <w:semiHidden/>
    <w:rsid w:val="00EA7D24"/>
    <w:rPr>
      <w:color w:val="FF0000"/>
      <w:u w:val="single"/>
    </w:rPr>
  </w:style>
  <w:style w:type="character" w:styleId="CommentReference">
    <w:name w:val="annotation reference"/>
    <w:semiHidden/>
    <w:rsid w:val="00EA7D24"/>
    <w:rPr>
      <w:sz w:val="16"/>
      <w:szCs w:val="16"/>
    </w:rPr>
  </w:style>
  <w:style w:type="paragraph" w:styleId="CommentText">
    <w:name w:val="annotation text"/>
    <w:basedOn w:val="Normal"/>
    <w:link w:val="CommentTextChar"/>
    <w:rsid w:val="00EA7D24"/>
  </w:style>
  <w:style w:type="paragraph" w:styleId="CommentSubject">
    <w:name w:val="annotation subject"/>
    <w:basedOn w:val="CommentText"/>
    <w:next w:val="CommentText"/>
    <w:semiHidden/>
    <w:rsid w:val="00EA7D24"/>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A7D24"/>
    <w:rPr>
      <w:rFonts w:ascii="Arial" w:hAnsi="Arial" w:cs="Arial"/>
      <w:sz w:val="36"/>
      <w:szCs w:val="36"/>
      <w:lang w:eastAsia="zh-CN"/>
    </w:rPr>
  </w:style>
  <w:style w:type="paragraph" w:customStyle="1" w:styleId="B1">
    <w:name w:val="B1"/>
    <w:basedOn w:val="List"/>
    <w:link w:val="B1Zchn"/>
    <w:rsid w:val="00EA7D24"/>
    <w:pPr>
      <w:spacing w:after="180"/>
      <w:jc w:val="left"/>
    </w:pPr>
    <w:rPr>
      <w:lang w:eastAsia="en-US"/>
    </w:rPr>
  </w:style>
  <w:style w:type="paragraph" w:customStyle="1" w:styleId="B2">
    <w:name w:val="B2"/>
    <w:basedOn w:val="List2"/>
    <w:link w:val="B2Char"/>
    <w:rsid w:val="00EA7D24"/>
    <w:pPr>
      <w:spacing w:after="180"/>
      <w:jc w:val="left"/>
    </w:pPr>
    <w:rPr>
      <w:lang w:eastAsia="en-US"/>
    </w:rPr>
  </w:style>
  <w:style w:type="paragraph" w:customStyle="1" w:styleId="B3">
    <w:name w:val="B3"/>
    <w:basedOn w:val="List3"/>
    <w:rsid w:val="00EA7D24"/>
    <w:pPr>
      <w:spacing w:after="180"/>
      <w:jc w:val="left"/>
    </w:pPr>
    <w:rPr>
      <w:lang w:eastAsia="en-US"/>
    </w:rPr>
  </w:style>
  <w:style w:type="paragraph" w:customStyle="1" w:styleId="B4">
    <w:name w:val="B4"/>
    <w:basedOn w:val="List4"/>
    <w:rsid w:val="00EA7D24"/>
    <w:pPr>
      <w:spacing w:after="180"/>
      <w:jc w:val="left"/>
    </w:pPr>
    <w:rPr>
      <w:lang w:eastAsia="en-US"/>
    </w:rPr>
  </w:style>
  <w:style w:type="paragraph" w:customStyle="1" w:styleId="Proposal">
    <w:name w:val="Proposal"/>
    <w:basedOn w:val="Normal"/>
    <w:rsid w:val="00EA7D24"/>
    <w:pPr>
      <w:numPr>
        <w:numId w:val="3"/>
      </w:numPr>
      <w:tabs>
        <w:tab w:val="clear" w:pos="1304"/>
        <w:tab w:val="left" w:pos="1701"/>
      </w:tabs>
      <w:ind w:left="1701" w:hanging="1701"/>
    </w:pPr>
    <w:rPr>
      <w:b/>
      <w:bCs/>
    </w:rPr>
  </w:style>
  <w:style w:type="character" w:customStyle="1" w:styleId="BodyTextChar">
    <w:name w:val="Body Text Char"/>
    <w:link w:val="BodyText"/>
    <w:rsid w:val="00EA7D24"/>
    <w:rPr>
      <w:rFonts w:ascii="Arial" w:hAnsi="Arial"/>
      <w:lang w:eastAsia="zh-CN"/>
    </w:rPr>
  </w:style>
  <w:style w:type="paragraph" w:customStyle="1" w:styleId="B5">
    <w:name w:val="B5"/>
    <w:basedOn w:val="List5"/>
    <w:rsid w:val="00EA7D24"/>
    <w:pPr>
      <w:spacing w:after="180"/>
      <w:jc w:val="left"/>
    </w:pPr>
    <w:rPr>
      <w:lang w:eastAsia="en-US"/>
    </w:rPr>
  </w:style>
  <w:style w:type="paragraph" w:customStyle="1" w:styleId="EX">
    <w:name w:val="EX"/>
    <w:basedOn w:val="Normal"/>
    <w:rsid w:val="00EA7D24"/>
    <w:pPr>
      <w:keepLines/>
      <w:spacing w:after="180"/>
      <w:ind w:left="1702" w:hanging="1418"/>
      <w:jc w:val="left"/>
    </w:pPr>
    <w:rPr>
      <w:lang w:eastAsia="en-US"/>
    </w:rPr>
  </w:style>
  <w:style w:type="paragraph" w:customStyle="1" w:styleId="EW">
    <w:name w:val="EW"/>
    <w:basedOn w:val="EX"/>
    <w:rsid w:val="00EA7D24"/>
    <w:pPr>
      <w:spacing w:after="0"/>
    </w:pPr>
  </w:style>
  <w:style w:type="paragraph" w:customStyle="1" w:styleId="TAL">
    <w:name w:val="TAL"/>
    <w:basedOn w:val="Normal"/>
    <w:rsid w:val="00EA7D24"/>
    <w:pPr>
      <w:keepNext/>
      <w:keepLines/>
      <w:spacing w:after="0"/>
      <w:jc w:val="left"/>
    </w:pPr>
    <w:rPr>
      <w:sz w:val="18"/>
      <w:lang w:eastAsia="en-US"/>
    </w:rPr>
  </w:style>
  <w:style w:type="paragraph" w:customStyle="1" w:styleId="TAC">
    <w:name w:val="TAC"/>
    <w:basedOn w:val="TAL"/>
    <w:rsid w:val="00EA7D24"/>
    <w:pPr>
      <w:jc w:val="center"/>
    </w:pPr>
  </w:style>
  <w:style w:type="paragraph" w:customStyle="1" w:styleId="TAH">
    <w:name w:val="TAH"/>
    <w:basedOn w:val="TAC"/>
    <w:rsid w:val="00EA7D24"/>
    <w:rPr>
      <w:b/>
    </w:rPr>
  </w:style>
  <w:style w:type="paragraph" w:customStyle="1" w:styleId="TAN">
    <w:name w:val="TAN"/>
    <w:basedOn w:val="TAL"/>
    <w:rsid w:val="00EA7D24"/>
    <w:pPr>
      <w:ind w:left="851" w:hanging="851"/>
    </w:pPr>
  </w:style>
  <w:style w:type="paragraph" w:customStyle="1" w:styleId="TAR">
    <w:name w:val="TAR"/>
    <w:basedOn w:val="TAL"/>
    <w:rsid w:val="00EA7D24"/>
    <w:pPr>
      <w:jc w:val="right"/>
    </w:pPr>
  </w:style>
  <w:style w:type="paragraph" w:customStyle="1" w:styleId="TH">
    <w:name w:val="TH"/>
    <w:basedOn w:val="Normal"/>
    <w:link w:val="THChar"/>
    <w:rsid w:val="00EA7D24"/>
    <w:pPr>
      <w:keepNext/>
      <w:keepLines/>
      <w:spacing w:before="60" w:after="180"/>
      <w:jc w:val="center"/>
    </w:pPr>
    <w:rPr>
      <w:b/>
      <w:lang w:eastAsia="en-US"/>
    </w:rPr>
  </w:style>
  <w:style w:type="paragraph" w:customStyle="1" w:styleId="TF">
    <w:name w:val="TF"/>
    <w:aliases w:val="left"/>
    <w:basedOn w:val="TH"/>
    <w:link w:val="TFChar"/>
    <w:rsid w:val="00EA7D24"/>
    <w:pPr>
      <w:keepNext w:val="0"/>
      <w:spacing w:before="0" w:after="240"/>
    </w:pPr>
  </w:style>
  <w:style w:type="paragraph" w:customStyle="1" w:styleId="TT">
    <w:name w:val="TT"/>
    <w:basedOn w:val="Heading1"/>
    <w:next w:val="Normal"/>
    <w:rsid w:val="00EA7D24"/>
    <w:pPr>
      <w:numPr>
        <w:numId w:val="0"/>
      </w:numPr>
      <w:ind w:left="1134" w:hanging="1134"/>
      <w:outlineLvl w:val="9"/>
    </w:pPr>
    <w:rPr>
      <w:rFonts w:cs="Times New Roman"/>
      <w:szCs w:val="20"/>
      <w:lang w:eastAsia="en-US"/>
    </w:rPr>
  </w:style>
  <w:style w:type="paragraph" w:customStyle="1" w:styleId="ZA">
    <w:name w:val="ZA"/>
    <w:rsid w:val="00EA7D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A7D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A7D2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EA7D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EA7D24"/>
  </w:style>
  <w:style w:type="paragraph" w:customStyle="1" w:styleId="ZH">
    <w:name w:val="ZH"/>
    <w:rsid w:val="00EA7D2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EA7D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EA7D24"/>
    <w:pPr>
      <w:framePr w:hRule="auto" w:wrap="notBeside" w:y="852"/>
    </w:pPr>
    <w:rPr>
      <w:i w:val="0"/>
      <w:sz w:val="40"/>
    </w:rPr>
  </w:style>
  <w:style w:type="paragraph" w:customStyle="1" w:styleId="ZU">
    <w:name w:val="ZU"/>
    <w:rsid w:val="00EA7D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A7D24"/>
    <w:pPr>
      <w:framePr w:wrap="notBeside" w:y="16161"/>
    </w:pPr>
  </w:style>
  <w:style w:type="paragraph" w:customStyle="1" w:styleId="FP">
    <w:name w:val="FP"/>
    <w:basedOn w:val="Normal"/>
    <w:rsid w:val="00EA7D24"/>
    <w:pPr>
      <w:spacing w:after="0"/>
      <w:jc w:val="left"/>
    </w:pPr>
    <w:rPr>
      <w:lang w:eastAsia="en-US"/>
    </w:rPr>
  </w:style>
  <w:style w:type="paragraph" w:customStyle="1" w:styleId="Observation">
    <w:name w:val="Observation"/>
    <w:basedOn w:val="Proposal"/>
    <w:qFormat/>
    <w:rsid w:val="00EA7D24"/>
    <w:pPr>
      <w:numPr>
        <w:numId w:val="9"/>
      </w:numPr>
      <w:ind w:left="1701" w:hanging="1701"/>
    </w:pPr>
  </w:style>
  <w:style w:type="paragraph" w:styleId="TableofFigures">
    <w:name w:val="table of figures"/>
    <w:basedOn w:val="Normal"/>
    <w:next w:val="Normal"/>
    <w:uiPriority w:val="99"/>
    <w:rsid w:val="00EA7D24"/>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customStyle="1" w:styleId="NO">
    <w:name w:val="NO"/>
    <w:basedOn w:val="Normal"/>
    <w:rsid w:val="006F6A70"/>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paragraph" w:customStyle="1" w:styleId="ZchnZchn">
    <w:name w:val="Zchn Zchn"/>
    <w:semiHidden/>
    <w:rsid w:val="006F6A70"/>
    <w:pPr>
      <w:keepNext/>
      <w:numPr>
        <w:numId w:val="2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0">
    <w:name w:val="Zchn Zchn"/>
    <w:semiHidden/>
    <w:rsid w:val="008571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semiHidden/>
    <w:unhideWhenUsed/>
    <w:rsid w:val="00FA233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Microsoft_Visio_2003-2010_Drawing2.vsd"/><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microsoft.com/office/2007/relationships/stylesWithEffects" Target="stylesWithEffects.xml"/><Relationship Id="rId19"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5NUHHDQN7SK2-1-177514</_dlc_DocId>
    <_dlc_DocIdUrl xmlns="08b2df90-05d3-4030-90d4-c9feeb4a1cd9">
      <Url>https://ericoll.internal.ericsson.com/sites/star/_layouts/DocIdRedir.aspx?ID=5NUHHDQN7SK2-1-177514</Url>
      <Description>5NUHHDQN7SK2-1-177514</Description>
    </_dlc_DocIdUrl>
  </documentManagement>
</p:properties>
</file>

<file path=customXml/item2.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C4AE1-DE79-43E5-A408-E1894820DCB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55F46382-567B-405C-9FB7-0EAA841CC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4DC85-3092-43EE-8EA6-063EB1B5CBCE}">
  <ds:schemaRefs>
    <ds:schemaRef ds:uri="http://schemas.microsoft.com/sharepoint/events"/>
  </ds:schemaRefs>
</ds:datastoreItem>
</file>

<file path=customXml/itemProps5.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6.xml><?xml version="1.0" encoding="utf-8"?>
<ds:datastoreItem xmlns:ds="http://schemas.openxmlformats.org/officeDocument/2006/customXml" ds:itemID="{438B3DDF-07BA-41FB-A911-0BFD9A7A527E}">
  <ds:schemaRefs>
    <ds:schemaRef ds:uri="Microsoft.SharePoint.Taxonomy.ContentTypeSync"/>
  </ds:schemaRefs>
</ds:datastoreItem>
</file>

<file path=customXml/itemProps7.xml><?xml version="1.0" encoding="utf-8"?>
<ds:datastoreItem xmlns:ds="http://schemas.openxmlformats.org/officeDocument/2006/customXml" ds:itemID="{033426B3-1156-491D-83EE-D910E3EDA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19</TotalTime>
  <Pages>5</Pages>
  <Words>938</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Riikka Susitaival</cp:lastModifiedBy>
  <cp:revision>5</cp:revision>
  <cp:lastPrinted>2008-01-31T06:09:00Z</cp:lastPrinted>
  <dcterms:created xsi:type="dcterms:W3CDTF">2017-06-16T19:43:00Z</dcterms:created>
  <dcterms:modified xsi:type="dcterms:W3CDTF">2017-06-16T21:32:00Z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1;#Research|7f1f7aab-c784-40ec-8666-825d2ac7abef</vt:lpwstr>
  </property>
  <property fmtid="{D5CDD505-2E9C-101B-9397-08002B2CF9AE}" pid="4" name="EriCOLLOrganizationUnit">
    <vt:lpwstr>3;#GFTE ER WAN APMBB Deployments ＆ Spectrum|644d70e3-351b-4c06-8b80-4aa32d170e18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ef8d52d9-fb42-462a-9c72-f3d370d7e65c</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0x010100BB337192E63E44A7A744CE7393F41F4E00FC0FCE182CC02C499F00CC069FCD5A25</vt:lpwstr>
  </property>
</Properties>
</file>